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264ED21B" w14:textId="36253BCC" w:rsidR="00F274B6" w:rsidRPr="00EE7FAE" w:rsidRDefault="00F274B6" w:rsidP="00F274B6">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EE7FAE">
        <w:rPr>
          <w:rFonts w:ascii="Times New Roman" w:hAnsi="Times New Roman"/>
          <w:b/>
          <w:sz w:val="24"/>
          <w:szCs w:val="24"/>
        </w:rPr>
        <w:t>3GPP TSG-</w:t>
      </w:r>
      <w:r w:rsidRPr="00EE7FAE">
        <w:rPr>
          <w:rFonts w:ascii="Times New Roman" w:hAnsi="Times New Roman"/>
          <w:b/>
          <w:sz w:val="24"/>
          <w:szCs w:val="24"/>
          <w:lang w:val="en-US" w:eastAsia="zh-CN"/>
        </w:rPr>
        <w:t>RAN</w:t>
      </w:r>
      <w:r w:rsidRPr="00EE7FAE">
        <w:rPr>
          <w:rFonts w:ascii="Times New Roman" w:hAnsi="Times New Roman"/>
          <w:b/>
          <w:sz w:val="24"/>
          <w:szCs w:val="24"/>
        </w:rPr>
        <w:t xml:space="preserve"> </w:t>
      </w:r>
      <w:r w:rsidRPr="00EE7FAE">
        <w:rPr>
          <w:rFonts w:ascii="Times New Roman" w:eastAsia="宋体" w:hAnsi="Times New Roman"/>
          <w:b/>
          <w:sz w:val="24"/>
          <w:szCs w:val="24"/>
          <w:lang w:val="en-US" w:eastAsia="zh-CN"/>
        </w:rPr>
        <w:t xml:space="preserve">WG4 </w:t>
      </w:r>
      <w:r w:rsidRPr="00EE7FAE">
        <w:rPr>
          <w:rFonts w:ascii="Times New Roman" w:hAnsi="Times New Roman"/>
          <w:b/>
          <w:sz w:val="24"/>
          <w:szCs w:val="24"/>
        </w:rPr>
        <w:t>Meeting # 114bis</w:t>
      </w:r>
      <w:r w:rsidRPr="00EE7FAE">
        <w:rPr>
          <w:rFonts w:ascii="Times New Roman" w:hAnsi="Times New Roman"/>
          <w:b/>
          <w:i/>
          <w:sz w:val="24"/>
          <w:szCs w:val="24"/>
        </w:rPr>
        <w:tab/>
      </w:r>
      <w:r w:rsidRPr="00094083">
        <w:rPr>
          <w:rFonts w:ascii="Times New Roman" w:eastAsia="宋体" w:hAnsi="Times New Roman"/>
          <w:b/>
          <w:sz w:val="24"/>
          <w:szCs w:val="24"/>
          <w:lang w:val="en-US" w:eastAsia="zh-CN"/>
        </w:rPr>
        <w:t>R4-250331</w:t>
      </w:r>
      <w:r>
        <w:rPr>
          <w:rFonts w:ascii="Times New Roman" w:eastAsia="宋体" w:hAnsi="Times New Roman"/>
          <w:b/>
          <w:sz w:val="24"/>
          <w:szCs w:val="24"/>
          <w:lang w:val="en-US" w:eastAsia="zh-CN"/>
        </w:rPr>
        <w:t>3</w:t>
      </w:r>
    </w:p>
    <w:p w14:paraId="38DF2875" w14:textId="77777777" w:rsidR="00F274B6" w:rsidRPr="00EE7FAE" w:rsidRDefault="00F274B6" w:rsidP="00F274B6">
      <w:pPr>
        <w:tabs>
          <w:tab w:val="center" w:pos="4536"/>
          <w:tab w:val="right" w:pos="9072"/>
        </w:tabs>
        <w:rPr>
          <w:rFonts w:ascii="Times New Roman" w:hAnsi="Times New Roman" w:cs="Times New Roman"/>
          <w:b/>
          <w:lang w:eastAsia="en-US"/>
        </w:rPr>
      </w:pPr>
      <w:r w:rsidRPr="00EE7FAE">
        <w:rPr>
          <w:rFonts w:ascii="Times New Roman" w:hAnsi="Times New Roman" w:cs="Times New Roman"/>
          <w:b/>
          <w:lang w:eastAsia="en-US"/>
        </w:rPr>
        <w:t>Wuhan, China, April 7th – 11th, 2025</w:t>
      </w:r>
    </w:p>
    <w:p w14:paraId="67B6E04D" w14:textId="77777777" w:rsidR="006E5755" w:rsidRPr="00F274B6" w:rsidRDefault="006E5755" w:rsidP="006E5755">
      <w:pPr>
        <w:overflowPunct w:val="0"/>
        <w:autoSpaceDE w:val="0"/>
        <w:autoSpaceDN w:val="0"/>
        <w:adjustRightInd w:val="0"/>
        <w:textAlignment w:val="baseline"/>
        <w:rPr>
          <w:rFonts w:ascii="Times New Roman" w:hAnsi="Times New Roman" w:cs="Times New Roman"/>
          <w:b/>
          <w:bCs/>
        </w:rPr>
      </w:pPr>
    </w:p>
    <w:p w14:paraId="6DC7E2FB" w14:textId="77777777" w:rsidR="006E5755" w:rsidRPr="00FC3AF1" w:rsidRDefault="006E5755" w:rsidP="006E5755">
      <w:pPr>
        <w:tabs>
          <w:tab w:val="left" w:pos="1985"/>
        </w:tabs>
        <w:rPr>
          <w:rFonts w:ascii="Times New Roman" w:hAnsi="Times New Roman" w:cs="Times New Roman"/>
          <w:b/>
        </w:rPr>
      </w:pPr>
      <w:r w:rsidRPr="00FC3AF1">
        <w:rPr>
          <w:rFonts w:ascii="Times New Roman" w:hAnsi="Times New Roman" w:cs="Times New Roman"/>
          <w:b/>
        </w:rPr>
        <w:t xml:space="preserve">Source: </w:t>
      </w:r>
      <w:r w:rsidRPr="00FC3AF1">
        <w:rPr>
          <w:rFonts w:ascii="Times New Roman" w:hAnsi="Times New Roman" w:cs="Times New Roman"/>
          <w:b/>
        </w:rPr>
        <w:tab/>
      </w:r>
      <w:r w:rsidRPr="00FC3AF1">
        <w:rPr>
          <w:rFonts w:ascii="Times New Roman" w:hAnsi="Times New Roman" w:cs="Times New Roman"/>
        </w:rPr>
        <w:t>Xiaomi</w:t>
      </w:r>
    </w:p>
    <w:p w14:paraId="285B9E70" w14:textId="5C94A104" w:rsidR="006E5755" w:rsidRPr="00FC3AF1" w:rsidRDefault="006E5755" w:rsidP="006E5755">
      <w:pPr>
        <w:ind w:left="1985" w:hanging="1985"/>
        <w:rPr>
          <w:rFonts w:ascii="Times New Roman" w:hAnsi="Times New Roman" w:cs="Times New Roman"/>
        </w:rPr>
      </w:pPr>
      <w:r w:rsidRPr="00FC3AF1">
        <w:rPr>
          <w:rFonts w:ascii="Times New Roman" w:hAnsi="Times New Roman" w:cs="Times New Roman"/>
          <w:b/>
        </w:rPr>
        <w:t>Title:</w:t>
      </w:r>
      <w:r w:rsidRPr="00FC3AF1">
        <w:rPr>
          <w:rFonts w:ascii="Times New Roman" w:hAnsi="Times New Roman" w:cs="Times New Roman"/>
        </w:rPr>
        <w:t xml:space="preserve"> </w:t>
      </w:r>
      <w:r w:rsidRPr="00FC3AF1">
        <w:rPr>
          <w:rFonts w:ascii="Times New Roman" w:hAnsi="Times New Roman" w:cs="Times New Roman"/>
        </w:rPr>
        <w:tab/>
      </w:r>
      <w:r w:rsidR="00DE2BFD" w:rsidRPr="00DE2BFD">
        <w:rPr>
          <w:rFonts w:ascii="Times New Roman" w:hAnsi="Times New Roman" w:cs="Times New Roman"/>
        </w:rPr>
        <w:t>Discussion on other RRM requirement on Rel-19 MIMO phase 5</w:t>
      </w:r>
    </w:p>
    <w:p w14:paraId="5DD9EDDA" w14:textId="52FC451C" w:rsidR="006E5755" w:rsidRPr="00FC3AF1" w:rsidRDefault="006E5755" w:rsidP="006E5755">
      <w:pPr>
        <w:ind w:left="1985" w:hanging="1985"/>
        <w:rPr>
          <w:rFonts w:ascii="Times New Roman" w:hAnsi="Times New Roman" w:cs="Times New Roman"/>
          <w:highlight w:val="yellow"/>
        </w:rPr>
      </w:pPr>
      <w:r w:rsidRPr="00FC3AF1">
        <w:rPr>
          <w:rFonts w:ascii="Times New Roman" w:hAnsi="Times New Roman" w:cs="Times New Roman"/>
          <w:b/>
        </w:rPr>
        <w:t>Agenda Item:</w:t>
      </w:r>
      <w:r w:rsidRPr="00FC3AF1">
        <w:rPr>
          <w:rFonts w:ascii="Times New Roman" w:hAnsi="Times New Roman" w:cs="Times New Roman"/>
        </w:rPr>
        <w:tab/>
      </w:r>
      <w:r w:rsidR="00356EF6">
        <w:rPr>
          <w:rFonts w:ascii="Times New Roman" w:hAnsi="Times New Roman" w:cs="Times New Roman"/>
        </w:rPr>
        <w:t>7</w:t>
      </w:r>
      <w:r w:rsidR="00DE2BFD">
        <w:rPr>
          <w:rFonts w:ascii="Times New Roman" w:hAnsi="Times New Roman" w:cs="Times New Roman"/>
        </w:rPr>
        <w:t>.</w:t>
      </w:r>
      <w:r w:rsidR="003E6108">
        <w:rPr>
          <w:rFonts w:ascii="Times New Roman" w:hAnsi="Times New Roman" w:cs="Times New Roman"/>
        </w:rPr>
        <w:t>22</w:t>
      </w:r>
      <w:r w:rsidR="00DE2BFD">
        <w:rPr>
          <w:rFonts w:ascii="Times New Roman" w:hAnsi="Times New Roman" w:cs="Times New Roman"/>
        </w:rPr>
        <w:t>.3.2</w:t>
      </w:r>
    </w:p>
    <w:p w14:paraId="0C86A2C2" w14:textId="77777777" w:rsidR="006E5755" w:rsidRPr="00FC3AF1" w:rsidRDefault="006E5755" w:rsidP="006E5755">
      <w:pPr>
        <w:tabs>
          <w:tab w:val="left" w:pos="1990"/>
        </w:tabs>
        <w:rPr>
          <w:rFonts w:ascii="Times New Roman" w:hAnsi="Times New Roman" w:cs="Times New Roman"/>
        </w:rPr>
      </w:pPr>
      <w:r w:rsidRPr="00FC3AF1">
        <w:rPr>
          <w:rFonts w:ascii="Times New Roman" w:hAnsi="Times New Roman" w:cs="Times New Roman"/>
          <w:b/>
        </w:rPr>
        <w:t>Document for:</w:t>
      </w:r>
      <w:r w:rsidRPr="00FC3AF1">
        <w:rPr>
          <w:rFonts w:ascii="Times New Roman" w:hAnsi="Times New Roman" w:cs="Times New Roman"/>
        </w:rPr>
        <w:tab/>
        <w:t>Discussion</w:t>
      </w:r>
    </w:p>
    <w:bookmarkEnd w:id="0"/>
    <w:bookmarkEnd w:id="1"/>
    <w:p w14:paraId="241EA8CC" w14:textId="77777777" w:rsidR="006E5755" w:rsidRPr="00FC3A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1 Introduction</w:t>
      </w:r>
    </w:p>
    <w:p w14:paraId="473E560D" w14:textId="37C0739D" w:rsidR="006E5755" w:rsidRDefault="00AD7A2C" w:rsidP="006E5755">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FC3AF1">
        <w:rPr>
          <w:rFonts w:ascii="Times New Roman" w:hAnsi="Times New Roman" w:cs="Times New Roman"/>
          <w:sz w:val="20"/>
          <w:szCs w:val="20"/>
          <w:lang w:val="en-GB"/>
        </w:rPr>
        <w:t xml:space="preserve">In this contribution, we will </w:t>
      </w:r>
      <w:r w:rsidR="00F83C06">
        <w:rPr>
          <w:rFonts w:ascii="Times New Roman" w:hAnsi="Times New Roman" w:cs="Times New Roman"/>
          <w:sz w:val="20"/>
          <w:szCs w:val="20"/>
          <w:lang w:val="en-GB"/>
        </w:rPr>
        <w:t>mainly</w:t>
      </w:r>
      <w:r w:rsidRPr="00FC3AF1">
        <w:rPr>
          <w:rFonts w:ascii="Times New Roman" w:hAnsi="Times New Roman" w:cs="Times New Roman"/>
          <w:sz w:val="20"/>
          <w:szCs w:val="20"/>
          <w:lang w:val="en-GB"/>
        </w:rPr>
        <w:t xml:space="preserve"> discuss the </w:t>
      </w:r>
      <w:r w:rsidR="00502AC1">
        <w:rPr>
          <w:rFonts w:ascii="Times New Roman" w:hAnsi="Times New Roman" w:cs="Times New Roman"/>
          <w:sz w:val="20"/>
          <w:szCs w:val="20"/>
          <w:lang w:val="en-GB"/>
        </w:rPr>
        <w:t>following issues</w:t>
      </w:r>
      <w:r w:rsidR="00F83C06">
        <w:rPr>
          <w:rFonts w:ascii="Times New Roman" w:hAnsi="Times New Roman" w:cs="Times New Roman"/>
          <w:sz w:val="20"/>
          <w:szCs w:val="20"/>
          <w:lang w:val="en-GB"/>
        </w:rPr>
        <w:t xml:space="preserve"> for Rel-19 MIMO</w:t>
      </w:r>
      <w:r w:rsidR="00101503">
        <w:rPr>
          <w:rFonts w:ascii="Times New Roman" w:hAnsi="Times New Roman" w:cs="Times New Roman"/>
          <w:sz w:val="20"/>
          <w:szCs w:val="20"/>
          <w:lang w:val="en-GB"/>
        </w:rPr>
        <w:t xml:space="preserve"> phase 5</w:t>
      </w:r>
      <w:r w:rsidR="00F83C06">
        <w:rPr>
          <w:rFonts w:ascii="Times New Roman" w:hAnsi="Times New Roman" w:cs="Times New Roman"/>
          <w:sz w:val="20"/>
          <w:szCs w:val="20"/>
          <w:lang w:val="en-GB"/>
        </w:rPr>
        <w:t>.</w:t>
      </w:r>
    </w:p>
    <w:tbl>
      <w:tblPr>
        <w:tblStyle w:val="a4"/>
        <w:tblW w:w="0" w:type="auto"/>
        <w:tblLook w:val="04A0" w:firstRow="1" w:lastRow="0" w:firstColumn="1" w:lastColumn="0" w:noHBand="0" w:noVBand="1"/>
      </w:tblPr>
      <w:tblGrid>
        <w:gridCol w:w="10478"/>
      </w:tblGrid>
      <w:tr w:rsidR="0048248B" w14:paraId="68386A91" w14:textId="77777777" w:rsidTr="0048248B">
        <w:tc>
          <w:tcPr>
            <w:tcW w:w="10478" w:type="dxa"/>
          </w:tcPr>
          <w:p w14:paraId="08EA85E8" w14:textId="76E5D424" w:rsidR="0048248B" w:rsidRDefault="00767E02" w:rsidP="00A46F60">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UL TCI state activation in </w:t>
            </w:r>
            <w:r w:rsidR="0048248B" w:rsidRPr="0048248B">
              <w:rPr>
                <w:rFonts w:ascii="Times New Roman" w:hAnsi="Times New Roman" w:cs="Times New Roman"/>
                <w:sz w:val="20"/>
                <w:szCs w:val="20"/>
                <w:lang w:val="en-GB"/>
              </w:rPr>
              <w:t>Asymmetric DL sTRP/UL mTRP</w:t>
            </w:r>
          </w:p>
          <w:p w14:paraId="0E40D502" w14:textId="4AF08FD5" w:rsidR="00767E02" w:rsidRPr="00767E02" w:rsidRDefault="00767E02" w:rsidP="00767E02">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Two TAs in </w:t>
            </w:r>
            <w:r w:rsidRPr="0048248B">
              <w:rPr>
                <w:rFonts w:ascii="Times New Roman" w:hAnsi="Times New Roman" w:cs="Times New Roman"/>
                <w:sz w:val="20"/>
                <w:szCs w:val="20"/>
                <w:lang w:val="en-GB"/>
              </w:rPr>
              <w:t>Asymmetric DL sTRP/UL mTRP</w:t>
            </w:r>
          </w:p>
        </w:tc>
      </w:tr>
    </w:tbl>
    <w:p w14:paraId="56233461" w14:textId="11554C03" w:rsidR="00CD3E9B"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Discussion</w:t>
      </w:r>
    </w:p>
    <w:p w14:paraId="469CA559" w14:textId="6A5DAFD7" w:rsidR="00C138DD" w:rsidRDefault="00C138DD" w:rsidP="00C138DD">
      <w:pPr>
        <w:pStyle w:val="2"/>
        <w:keepNext/>
        <w:keepLines/>
        <w:suppressAutoHyphens w:val="0"/>
        <w:overflowPunct w:val="0"/>
        <w:autoSpaceDE w:val="0"/>
        <w:autoSpaceDN w:val="0"/>
        <w:adjustRightInd w:val="0"/>
        <w:spacing w:before="180" w:after="180"/>
        <w:ind w:left="576" w:hanging="576"/>
        <w:textAlignment w:val="baseline"/>
        <w:rPr>
          <w:rFonts w:ascii="Times New Roman" w:eastAsia="Times New Roman" w:hAnsi="Times New Roman" w:cs="Times New Roman"/>
          <w:szCs w:val="24"/>
          <w:lang w:eastAsia="en-US"/>
        </w:rPr>
      </w:pPr>
      <w:r>
        <w:rPr>
          <w:rFonts w:ascii="Times New Roman" w:eastAsia="宋体" w:hAnsi="Times New Roman" w:cs="Times New Roman"/>
          <w:sz w:val="30"/>
          <w:szCs w:val="30"/>
        </w:rPr>
        <w:t>2.</w:t>
      </w:r>
      <w:r w:rsidR="00C3094A">
        <w:rPr>
          <w:rFonts w:ascii="Times New Roman" w:eastAsia="宋体" w:hAnsi="Times New Roman" w:cs="Times New Roman"/>
          <w:sz w:val="30"/>
          <w:szCs w:val="30"/>
        </w:rPr>
        <w:t>1</w:t>
      </w:r>
      <w:r>
        <w:rPr>
          <w:rFonts w:ascii="Times New Roman" w:eastAsia="宋体" w:hAnsi="Times New Roman" w:cs="Times New Roman"/>
          <w:sz w:val="30"/>
          <w:szCs w:val="30"/>
        </w:rPr>
        <w:t xml:space="preserve"> </w:t>
      </w:r>
      <w:r>
        <w:rPr>
          <w:rFonts w:ascii="Times New Roman" w:eastAsia="Times New Roman" w:hAnsi="Times New Roman" w:cs="Times New Roman"/>
          <w:szCs w:val="24"/>
          <w:lang w:eastAsia="en-US"/>
        </w:rPr>
        <w:t>A</w:t>
      </w:r>
      <w:r w:rsidRPr="00FC3AF1">
        <w:rPr>
          <w:rFonts w:ascii="Times New Roman" w:eastAsia="Times New Roman" w:hAnsi="Times New Roman" w:cs="Times New Roman"/>
          <w:szCs w:val="24"/>
          <w:lang w:eastAsia="en-US"/>
        </w:rPr>
        <w:t>symmetric DL sTRP/UL mTRP</w:t>
      </w:r>
    </w:p>
    <w:tbl>
      <w:tblPr>
        <w:tblStyle w:val="a4"/>
        <w:tblW w:w="0" w:type="auto"/>
        <w:tblLook w:val="04A0" w:firstRow="1" w:lastRow="0" w:firstColumn="1" w:lastColumn="0" w:noHBand="0" w:noVBand="1"/>
      </w:tblPr>
      <w:tblGrid>
        <w:gridCol w:w="10478"/>
      </w:tblGrid>
      <w:tr w:rsidR="004A7BD9" w14:paraId="6E67FCAA" w14:textId="77777777" w:rsidTr="004A7BD9">
        <w:tc>
          <w:tcPr>
            <w:tcW w:w="10478" w:type="dxa"/>
          </w:tcPr>
          <w:p w14:paraId="2654FA6C" w14:textId="77777777" w:rsidR="004A7BD9" w:rsidRPr="004A7BD9" w:rsidRDefault="004A7BD9" w:rsidP="004A7BD9">
            <w:pPr>
              <w:snapToGrid w:val="0"/>
              <w:spacing w:after="120"/>
              <w:rPr>
                <w:rFonts w:ascii="Times New Roman" w:eastAsia="等线" w:hAnsi="Times New Roman" w:cs="Times New Roman"/>
                <w:b/>
                <w:sz w:val="20"/>
                <w:szCs w:val="20"/>
                <w:u w:val="single"/>
              </w:rPr>
            </w:pPr>
            <w:r w:rsidRPr="004A7BD9">
              <w:rPr>
                <w:rFonts w:ascii="Times New Roman" w:eastAsia="等线" w:hAnsi="Times New Roman" w:cs="Times New Roman"/>
                <w:b/>
                <w:sz w:val="20"/>
                <w:szCs w:val="20"/>
                <w:u w:val="single"/>
              </w:rPr>
              <w:t>Issue 2-3: Whether to define UL TCI state activation requirement based on SRS?</w:t>
            </w:r>
          </w:p>
          <w:p w14:paraId="2517D408" w14:textId="77777777" w:rsidR="004A7BD9" w:rsidRPr="004A7BD9" w:rsidRDefault="004A7BD9" w:rsidP="004A7BD9">
            <w:pPr>
              <w:spacing w:after="120"/>
              <w:rPr>
                <w:rFonts w:ascii="Times New Roman" w:hAnsi="Times New Roman" w:cs="Times New Roman"/>
                <w:sz w:val="20"/>
                <w:szCs w:val="20"/>
              </w:rPr>
            </w:pPr>
            <w:r w:rsidRPr="004A7BD9">
              <w:rPr>
                <w:rFonts w:ascii="Times New Roman" w:hAnsi="Times New Roman" w:cs="Times New Roman"/>
                <w:sz w:val="20"/>
                <w:szCs w:val="20"/>
              </w:rPr>
              <w:t>Way forward:</w:t>
            </w:r>
          </w:p>
          <w:p w14:paraId="1E2E05BC" w14:textId="77777777" w:rsidR="004A7BD9" w:rsidRPr="004A7BD9" w:rsidRDefault="004A7BD9" w:rsidP="004A7BD9">
            <w:pPr>
              <w:snapToGrid w:val="0"/>
              <w:spacing w:after="120"/>
              <w:rPr>
                <w:rFonts w:ascii="Times New Roman" w:eastAsia="等线" w:hAnsi="Times New Roman" w:cs="Times New Roman"/>
                <w:sz w:val="20"/>
                <w:szCs w:val="20"/>
              </w:rPr>
            </w:pPr>
            <w:r w:rsidRPr="004A7BD9">
              <w:rPr>
                <w:rFonts w:ascii="Times New Roman" w:eastAsia="等线" w:hAnsi="Times New Roman" w:cs="Times New Roman"/>
                <w:sz w:val="20"/>
                <w:szCs w:val="20"/>
                <w:highlight w:val="yellow"/>
              </w:rPr>
              <w:t>Further discuss the two proposals and down-select one proposal in the next meeting:</w:t>
            </w:r>
          </w:p>
          <w:p w14:paraId="669EB411" w14:textId="77777777" w:rsidR="004A7BD9" w:rsidRPr="004A7BD9" w:rsidRDefault="004A7BD9" w:rsidP="004A7BD9">
            <w:pPr>
              <w:pStyle w:val="a5"/>
              <w:numPr>
                <w:ilvl w:val="1"/>
                <w:numId w:val="3"/>
              </w:numPr>
              <w:autoSpaceDN w:val="0"/>
              <w:spacing w:after="120" w:line="276" w:lineRule="auto"/>
              <w:ind w:left="1200" w:firstLineChars="0"/>
              <w:rPr>
                <w:rFonts w:ascii="Times New Roman" w:eastAsia="等线" w:hAnsi="Times New Roman" w:cs="Times New Roman"/>
                <w:sz w:val="20"/>
                <w:szCs w:val="20"/>
              </w:rPr>
            </w:pPr>
            <w:r w:rsidRPr="004A7BD9">
              <w:rPr>
                <w:rFonts w:ascii="Times New Roman" w:hAnsi="Times New Roman" w:cs="Times New Roman"/>
                <w:sz w:val="20"/>
                <w:szCs w:val="20"/>
              </w:rPr>
              <w:t>Proposal 1 (Qualcomm, Huawei, MediaTek, Samsung, Apple, QC): No RRM impacts on TCI state switching requirement.</w:t>
            </w:r>
          </w:p>
          <w:p w14:paraId="716EE7E9" w14:textId="77777777" w:rsidR="004A7BD9" w:rsidRPr="004A7BD9" w:rsidRDefault="004A7BD9" w:rsidP="004A7BD9">
            <w:pPr>
              <w:pStyle w:val="a5"/>
              <w:numPr>
                <w:ilvl w:val="1"/>
                <w:numId w:val="3"/>
              </w:numPr>
              <w:autoSpaceDN w:val="0"/>
              <w:spacing w:after="120" w:line="276" w:lineRule="auto"/>
              <w:ind w:left="1200" w:firstLineChars="0"/>
              <w:rPr>
                <w:rFonts w:ascii="Times New Roman" w:hAnsi="Times New Roman" w:cs="Times New Roman"/>
                <w:sz w:val="20"/>
                <w:szCs w:val="20"/>
              </w:rPr>
            </w:pPr>
            <w:r w:rsidRPr="004A7BD9">
              <w:rPr>
                <w:rFonts w:ascii="Times New Roman" w:hAnsi="Times New Roman" w:cs="Times New Roman"/>
                <w:sz w:val="20"/>
                <w:szCs w:val="20"/>
              </w:rPr>
              <w:t xml:space="preserve">Proposal 3 (Xiaomi, Nokia): </w:t>
            </w:r>
          </w:p>
          <w:p w14:paraId="46C3B986" w14:textId="77777777" w:rsidR="004A7BD9" w:rsidRPr="004A7BD9" w:rsidRDefault="004A7BD9" w:rsidP="004A7BD9">
            <w:pPr>
              <w:pStyle w:val="a5"/>
              <w:numPr>
                <w:ilvl w:val="2"/>
                <w:numId w:val="3"/>
              </w:numPr>
              <w:autoSpaceDN w:val="0"/>
              <w:spacing w:after="120" w:line="276" w:lineRule="auto"/>
              <w:ind w:left="1200" w:firstLineChars="0"/>
              <w:rPr>
                <w:rFonts w:ascii="Times New Roman" w:hAnsi="Times New Roman" w:cs="Times New Roman"/>
                <w:sz w:val="20"/>
                <w:szCs w:val="20"/>
              </w:rPr>
            </w:pPr>
            <w:r w:rsidRPr="004A7BD9">
              <w:rPr>
                <w:rFonts w:ascii="Times New Roman" w:hAnsi="Times New Roman" w:cs="Times New Roman"/>
                <w:sz w:val="20"/>
                <w:szCs w:val="20"/>
              </w:rPr>
              <w:t>Legacy DCI based UL TCI state activation requirement can be re-used for UL TRP.</w:t>
            </w:r>
          </w:p>
          <w:p w14:paraId="5DB12876" w14:textId="77777777" w:rsidR="004A7BD9" w:rsidRPr="004A7BD9" w:rsidRDefault="004A7BD9" w:rsidP="004A7BD9">
            <w:pPr>
              <w:pStyle w:val="a5"/>
              <w:numPr>
                <w:ilvl w:val="2"/>
                <w:numId w:val="3"/>
              </w:numPr>
              <w:autoSpaceDN w:val="0"/>
              <w:spacing w:after="120" w:line="276" w:lineRule="auto"/>
              <w:ind w:left="1200" w:firstLineChars="0"/>
              <w:rPr>
                <w:rFonts w:ascii="Times New Roman" w:hAnsi="Times New Roman" w:cs="Times New Roman"/>
                <w:sz w:val="20"/>
                <w:szCs w:val="20"/>
              </w:rPr>
            </w:pPr>
            <w:r w:rsidRPr="004A7BD9">
              <w:rPr>
                <w:rFonts w:ascii="Times New Roman" w:hAnsi="Times New Roman" w:cs="Times New Roman"/>
                <w:sz w:val="20"/>
                <w:szCs w:val="20"/>
              </w:rPr>
              <w:t>RAN4 only to define MAC CE based UL TCI state activation requirement based on known TCI. The legacy MAC CE based delay requirement can be used as baseline.</w:t>
            </w:r>
          </w:p>
          <w:p w14:paraId="706A2E73" w14:textId="77777777" w:rsidR="004A7BD9" w:rsidRPr="004A7BD9" w:rsidRDefault="004A7BD9" w:rsidP="004A7BD9">
            <w:pPr>
              <w:pStyle w:val="a5"/>
              <w:numPr>
                <w:ilvl w:val="2"/>
                <w:numId w:val="3"/>
              </w:numPr>
              <w:autoSpaceDN w:val="0"/>
              <w:spacing w:after="120" w:line="276" w:lineRule="auto"/>
              <w:ind w:left="1200" w:firstLineChars="0"/>
              <w:rPr>
                <w:rFonts w:ascii="Times New Roman" w:hAnsi="Times New Roman" w:cs="Times New Roman"/>
                <w:sz w:val="20"/>
                <w:szCs w:val="20"/>
              </w:rPr>
            </w:pPr>
            <w:r w:rsidRPr="004A7BD9">
              <w:rPr>
                <w:rFonts w:ascii="Times New Roman" w:hAnsi="Times New Roman" w:cs="Times New Roman"/>
                <w:sz w:val="20"/>
                <w:szCs w:val="20"/>
              </w:rPr>
              <w:t>For DL-TRP, legacy UL TCI state activation requirement based on DL-RS can be re-used. no need to define SRS based ULTCI state activation delay.</w:t>
            </w:r>
          </w:p>
          <w:p w14:paraId="7A140DF2" w14:textId="5500D4B5" w:rsidR="004A7BD9" w:rsidRPr="004A7BD9" w:rsidRDefault="004A7BD9" w:rsidP="004A7BD9">
            <w:pPr>
              <w:pStyle w:val="a5"/>
              <w:numPr>
                <w:ilvl w:val="2"/>
                <w:numId w:val="3"/>
              </w:numPr>
              <w:autoSpaceDN w:val="0"/>
              <w:spacing w:after="120" w:line="276" w:lineRule="auto"/>
              <w:ind w:left="1200" w:firstLineChars="0"/>
              <w:rPr>
                <w:rFonts w:ascii="Times New Roman" w:hAnsi="Times New Roman"/>
              </w:rPr>
            </w:pPr>
            <w:r w:rsidRPr="004A7BD9">
              <w:rPr>
                <w:rFonts w:ascii="Times New Roman" w:hAnsi="Times New Roman" w:cs="Times New Roman"/>
                <w:sz w:val="20"/>
                <w:szCs w:val="20"/>
              </w:rPr>
              <w:t>Further refine the wording for P3 in the WF, if needed</w:t>
            </w:r>
          </w:p>
        </w:tc>
      </w:tr>
    </w:tbl>
    <w:p w14:paraId="6348A0C8" w14:textId="70EC17E6" w:rsidR="004A7BD9" w:rsidRDefault="004A7BD9" w:rsidP="00ED4AEF">
      <w:pPr>
        <w:spacing w:afterLines="50" w:after="120"/>
        <w:rPr>
          <w:rFonts w:ascii="Times New Roman" w:hAnsi="Times New Roman" w:cs="Times New Roman"/>
        </w:rPr>
      </w:pPr>
    </w:p>
    <w:p w14:paraId="2C5DCEA3" w14:textId="11F0A45F" w:rsidR="00E40E22" w:rsidRPr="005553EC" w:rsidRDefault="00E40E22" w:rsidP="00ED4AEF">
      <w:pPr>
        <w:spacing w:afterLines="50" w:after="120"/>
        <w:rPr>
          <w:rFonts w:ascii="Times New Roman" w:hAnsi="Times New Roman" w:cs="Times New Roman"/>
          <w:sz w:val="20"/>
          <w:szCs w:val="20"/>
        </w:rPr>
      </w:pPr>
      <w:r w:rsidRPr="005553EC">
        <w:rPr>
          <w:rFonts w:ascii="Times New Roman" w:hAnsi="Times New Roman" w:cs="Times New Roman"/>
          <w:sz w:val="20"/>
          <w:szCs w:val="20"/>
        </w:rPr>
        <w:t>In last meeting, there is common understanding that there are two scenarios:</w:t>
      </w:r>
    </w:p>
    <w:tbl>
      <w:tblPr>
        <w:tblStyle w:val="a4"/>
        <w:tblW w:w="0" w:type="auto"/>
        <w:tblLook w:val="04A0" w:firstRow="1" w:lastRow="0" w:firstColumn="1" w:lastColumn="0" w:noHBand="0" w:noVBand="1"/>
      </w:tblPr>
      <w:tblGrid>
        <w:gridCol w:w="10478"/>
      </w:tblGrid>
      <w:tr w:rsidR="00E40E22" w14:paraId="1B899023" w14:textId="77777777" w:rsidTr="00E40E22">
        <w:tc>
          <w:tcPr>
            <w:tcW w:w="10478" w:type="dxa"/>
          </w:tcPr>
          <w:p w14:paraId="076B3C93" w14:textId="77777777" w:rsidR="00E40E22" w:rsidRPr="00E40E22" w:rsidRDefault="00E40E22" w:rsidP="00E40E22">
            <w:pPr>
              <w:snapToGrid w:val="0"/>
              <w:spacing w:after="120"/>
              <w:rPr>
                <w:rFonts w:ascii="Times New Roman" w:eastAsia="等线" w:hAnsi="Times New Roman" w:cs="Times New Roman"/>
                <w:bCs/>
                <w:sz w:val="20"/>
                <w:szCs w:val="20"/>
              </w:rPr>
            </w:pPr>
            <w:r w:rsidRPr="00E40E22">
              <w:rPr>
                <w:rFonts w:ascii="Times New Roman" w:eastAsia="等线" w:hAnsi="Times New Roman" w:cs="Times New Roman"/>
                <w:bCs/>
                <w:sz w:val="20"/>
                <w:szCs w:val="20"/>
              </w:rPr>
              <w:t>Agreement:</w:t>
            </w:r>
          </w:p>
          <w:p w14:paraId="5C07F707" w14:textId="77777777" w:rsidR="00E40E22" w:rsidRPr="00E40E22" w:rsidRDefault="00E40E22" w:rsidP="00E40E22">
            <w:pPr>
              <w:pStyle w:val="a5"/>
              <w:numPr>
                <w:ilvl w:val="0"/>
                <w:numId w:val="17"/>
              </w:numPr>
              <w:snapToGrid w:val="0"/>
              <w:spacing w:after="120" w:line="276" w:lineRule="auto"/>
              <w:ind w:left="1260" w:firstLineChars="0"/>
              <w:rPr>
                <w:rFonts w:ascii="Times New Roman" w:hAnsi="Times New Roman" w:cs="Times New Roman"/>
                <w:sz w:val="20"/>
                <w:szCs w:val="20"/>
              </w:rPr>
            </w:pPr>
            <w:r w:rsidRPr="00E40E22">
              <w:rPr>
                <w:rFonts w:ascii="Times New Roman" w:hAnsi="Times New Roman" w:cs="Times New Roman"/>
                <w:sz w:val="20"/>
                <w:szCs w:val="20"/>
              </w:rPr>
              <w:t>Scenario#1: if UE is configured with PL offset in joint/UL TCI state(s), UE does not expect to receive SSB from UL TRP(s)</w:t>
            </w:r>
          </w:p>
          <w:p w14:paraId="55363484" w14:textId="662ADB43" w:rsidR="00E40E22" w:rsidRPr="00C6616E" w:rsidRDefault="00E40E22" w:rsidP="00C6616E">
            <w:pPr>
              <w:pStyle w:val="a5"/>
              <w:numPr>
                <w:ilvl w:val="0"/>
                <w:numId w:val="17"/>
              </w:numPr>
              <w:snapToGrid w:val="0"/>
              <w:spacing w:after="120" w:line="276" w:lineRule="auto"/>
              <w:ind w:left="1260" w:firstLineChars="0"/>
              <w:rPr>
                <w:rFonts w:ascii="Times New Roman" w:hAnsi="Times New Roman" w:cs="Times New Roman"/>
                <w:sz w:val="20"/>
                <w:szCs w:val="20"/>
              </w:rPr>
            </w:pPr>
            <w:r w:rsidRPr="00E40E22">
              <w:rPr>
                <w:rFonts w:ascii="Times New Roman" w:hAnsi="Times New Roman" w:cs="Times New Roman"/>
                <w:sz w:val="20"/>
                <w:szCs w:val="20"/>
              </w:rPr>
              <w:t>Scenario#2: if UE is not configured with PL offset in joint/UL TCI state(s), UE expect to receive SSB from UL TRP(s).</w:t>
            </w:r>
          </w:p>
        </w:tc>
      </w:tr>
    </w:tbl>
    <w:p w14:paraId="57DE8B1B" w14:textId="77777777" w:rsidR="00E40E22" w:rsidRDefault="00E40E22" w:rsidP="00ED4AEF">
      <w:pPr>
        <w:spacing w:afterLines="50" w:after="120"/>
        <w:rPr>
          <w:rFonts w:ascii="Times New Roman" w:hAnsi="Times New Roman" w:cs="Times New Roman"/>
        </w:rPr>
      </w:pPr>
    </w:p>
    <w:p w14:paraId="0D54C806" w14:textId="1204E4DB" w:rsidR="00CC093A" w:rsidRPr="00523A2F" w:rsidRDefault="00AF1A16" w:rsidP="00CC093A">
      <w:pPr>
        <w:spacing w:afterLines="50" w:after="120"/>
        <w:rPr>
          <w:rFonts w:ascii="Times New Roman" w:hAnsi="Times New Roman" w:cs="Times New Roman"/>
          <w:b/>
          <w:bCs/>
          <w:sz w:val="20"/>
          <w:szCs w:val="20"/>
          <w:u w:val="single"/>
        </w:rPr>
      </w:pPr>
      <w:r w:rsidRPr="00523A2F">
        <w:rPr>
          <w:rFonts w:ascii="Times New Roman" w:hAnsi="Times New Roman" w:cs="Times New Roman"/>
          <w:b/>
          <w:bCs/>
          <w:sz w:val="20"/>
          <w:szCs w:val="20"/>
          <w:u w:val="single"/>
        </w:rPr>
        <w:t>UL TCI state activation</w:t>
      </w:r>
      <w:r w:rsidR="005553EC">
        <w:rPr>
          <w:rFonts w:ascii="Times New Roman" w:hAnsi="Times New Roman" w:cs="Times New Roman"/>
          <w:b/>
          <w:bCs/>
          <w:sz w:val="20"/>
          <w:szCs w:val="20"/>
          <w:u w:val="single"/>
        </w:rPr>
        <w:t xml:space="preserve"> for scenario 1</w:t>
      </w:r>
    </w:p>
    <w:p w14:paraId="4D7E91CC" w14:textId="08CFEFFA" w:rsidR="002335D3" w:rsidRDefault="005553EC" w:rsidP="00AF1A16">
      <w:pPr>
        <w:spacing w:afterLines="50" w:after="120"/>
        <w:rPr>
          <w:rFonts w:ascii="Times New Roman" w:hAnsi="Times New Roman" w:cs="Times New Roman"/>
          <w:sz w:val="20"/>
          <w:szCs w:val="20"/>
        </w:rPr>
      </w:pPr>
      <w:r>
        <w:rPr>
          <w:rFonts w:ascii="Times New Roman" w:hAnsi="Times New Roman" w:cs="Times New Roman"/>
          <w:sz w:val="20"/>
          <w:szCs w:val="20"/>
        </w:rPr>
        <w:t>For scenario 1</w:t>
      </w:r>
      <w:r w:rsidR="00D91CB4">
        <w:rPr>
          <w:rFonts w:ascii="Times New Roman" w:hAnsi="Times New Roman" w:cs="Times New Roman"/>
          <w:sz w:val="20"/>
          <w:szCs w:val="20"/>
        </w:rPr>
        <w:t xml:space="preserve">, </w:t>
      </w:r>
      <w:r w:rsidR="00D91CB4" w:rsidRPr="00523A2F">
        <w:rPr>
          <w:rFonts w:ascii="Times New Roman" w:hAnsi="Times New Roman" w:cs="Times New Roman"/>
          <w:sz w:val="20"/>
          <w:szCs w:val="20"/>
        </w:rPr>
        <w:t xml:space="preserve">SRS will be configured as source RS for UL-only TRP. </w:t>
      </w:r>
      <w:r w:rsidR="002335D3" w:rsidRPr="00523A2F">
        <w:rPr>
          <w:rFonts w:ascii="Times New Roman" w:hAnsi="Times New Roman" w:cs="Times New Roman"/>
          <w:sz w:val="20"/>
          <w:szCs w:val="20"/>
        </w:rPr>
        <w:t>In legacy RAN4, no requirement is defined when SRS will be configured as source RS for UL TCI state activation.</w:t>
      </w:r>
      <w:r w:rsidR="007D71C7">
        <w:rPr>
          <w:rFonts w:ascii="Times New Roman" w:hAnsi="Times New Roman" w:cs="Times New Roman"/>
          <w:sz w:val="20"/>
          <w:szCs w:val="20"/>
        </w:rPr>
        <w:t xml:space="preserve"> We are fine not to define SRS based TCI state activation requirement for UL-only TRP.</w:t>
      </w:r>
    </w:p>
    <w:p w14:paraId="6233BE47" w14:textId="2395FCB2" w:rsidR="00D91CB4" w:rsidRDefault="00D91CB4" w:rsidP="00C6616E">
      <w:pPr>
        <w:spacing w:beforeLines="100" w:before="240" w:afterLines="100" w:after="240"/>
        <w:rPr>
          <w:rFonts w:ascii="Times New Roman" w:hAnsi="Times New Roman" w:cs="Times New Roman"/>
          <w:b/>
          <w:bCs/>
          <w:sz w:val="20"/>
          <w:szCs w:val="20"/>
        </w:rPr>
      </w:pPr>
      <w:r w:rsidRPr="00523A2F">
        <w:rPr>
          <w:rFonts w:ascii="Times New Roman" w:hAnsi="Times New Roman" w:cs="Times New Roman"/>
          <w:b/>
          <w:bCs/>
          <w:sz w:val="20"/>
          <w:szCs w:val="20"/>
        </w:rPr>
        <w:lastRenderedPageBreak/>
        <w:t>Proposal</w:t>
      </w:r>
      <w:r>
        <w:rPr>
          <w:rFonts w:ascii="Times New Roman" w:hAnsi="Times New Roman" w:cs="Times New Roman"/>
          <w:b/>
          <w:bCs/>
          <w:sz w:val="20"/>
          <w:szCs w:val="20"/>
        </w:rPr>
        <w:t xml:space="preserve"> 1</w:t>
      </w:r>
      <w:r w:rsidRPr="00523A2F">
        <w:rPr>
          <w:rFonts w:ascii="Times New Roman" w:hAnsi="Times New Roman" w:cs="Times New Roman"/>
          <w:b/>
          <w:bCs/>
          <w:sz w:val="20"/>
          <w:szCs w:val="20"/>
        </w:rPr>
        <w:t xml:space="preserve">: </w:t>
      </w:r>
      <w:r w:rsidR="00462C1F">
        <w:rPr>
          <w:rFonts w:ascii="Times New Roman" w:hAnsi="Times New Roman" w:cs="Times New Roman"/>
          <w:b/>
          <w:bCs/>
          <w:sz w:val="20"/>
          <w:szCs w:val="20"/>
        </w:rPr>
        <w:t xml:space="preserve">For scenario 1, </w:t>
      </w:r>
      <w:r w:rsidR="007D71C7">
        <w:rPr>
          <w:rFonts w:ascii="Times New Roman" w:hAnsi="Times New Roman" w:cs="Times New Roman"/>
          <w:b/>
          <w:bCs/>
          <w:sz w:val="20"/>
          <w:szCs w:val="20"/>
        </w:rPr>
        <w:t>F</w:t>
      </w:r>
      <w:r w:rsidR="007D71C7" w:rsidRPr="007D71C7">
        <w:rPr>
          <w:rFonts w:ascii="Times New Roman" w:hAnsi="Times New Roman" w:cs="Times New Roman"/>
          <w:b/>
          <w:bCs/>
          <w:sz w:val="20"/>
          <w:szCs w:val="20"/>
        </w:rPr>
        <w:t>ine not to define SRS based TCI state activation requirement for UL-only TR</w:t>
      </w:r>
      <w:r w:rsidRPr="007D71C7">
        <w:rPr>
          <w:rFonts w:ascii="Times New Roman" w:hAnsi="Times New Roman" w:cs="Times New Roman"/>
          <w:b/>
          <w:bCs/>
          <w:sz w:val="20"/>
          <w:szCs w:val="20"/>
        </w:rPr>
        <w:t>.</w:t>
      </w:r>
    </w:p>
    <w:tbl>
      <w:tblPr>
        <w:tblStyle w:val="a4"/>
        <w:tblW w:w="0" w:type="auto"/>
        <w:tblLook w:val="04A0" w:firstRow="1" w:lastRow="0" w:firstColumn="1" w:lastColumn="0" w:noHBand="0" w:noVBand="1"/>
      </w:tblPr>
      <w:tblGrid>
        <w:gridCol w:w="10478"/>
      </w:tblGrid>
      <w:tr w:rsidR="00F60098" w14:paraId="03D1D55E" w14:textId="77777777" w:rsidTr="00F60098">
        <w:tc>
          <w:tcPr>
            <w:tcW w:w="10478" w:type="dxa"/>
          </w:tcPr>
          <w:p w14:paraId="1B8B6094" w14:textId="77777777" w:rsidR="00F60098" w:rsidRPr="00F60098" w:rsidRDefault="00F60098" w:rsidP="00F60098">
            <w:pPr>
              <w:rPr>
                <w:rFonts w:ascii="Times New Roman" w:eastAsia="Malgun Gothic" w:hAnsi="Times New Roman" w:cs="Times New Roman"/>
                <w:sz w:val="20"/>
                <w:szCs w:val="20"/>
              </w:rPr>
            </w:pPr>
            <w:r w:rsidRPr="00F60098">
              <w:rPr>
                <w:rFonts w:ascii="Times New Roman" w:eastAsia="Malgun Gothic" w:hAnsi="Times New Roman" w:cs="Times New Roman"/>
                <w:sz w:val="20"/>
                <w:szCs w:val="20"/>
              </w:rPr>
              <w:t>If the target TCI state is known, upon</w:t>
            </w:r>
            <w:r w:rsidRPr="00F60098">
              <w:rPr>
                <w:rFonts w:ascii="Times New Roman" w:hAnsi="Times New Roman" w:cs="Times New Roman"/>
                <w:sz w:val="20"/>
                <w:szCs w:val="20"/>
              </w:rPr>
              <w:t xml:space="preserve"> receiv</w:t>
            </w:r>
            <w:r w:rsidRPr="00F60098">
              <w:rPr>
                <w:rFonts w:ascii="Times New Roman" w:eastAsia="Malgun Gothic" w:hAnsi="Times New Roman" w:cs="Times New Roman"/>
                <w:sz w:val="20"/>
                <w:szCs w:val="20"/>
              </w:rPr>
              <w:t>ing PDSCH carrying</w:t>
            </w:r>
            <w:r w:rsidRPr="00F60098">
              <w:rPr>
                <w:rFonts w:ascii="Times New Roman" w:hAnsi="Times New Roman" w:cs="Times New Roman"/>
                <w:sz w:val="20"/>
                <w:szCs w:val="20"/>
              </w:rPr>
              <w:t xml:space="preserve"> </w:t>
            </w:r>
            <w:r w:rsidRPr="00F60098">
              <w:rPr>
                <w:rFonts w:ascii="Times New Roman" w:eastAsia="Malgun Gothic" w:hAnsi="Times New Roman" w:cs="Times New Roman"/>
                <w:sz w:val="20"/>
                <w:szCs w:val="20"/>
              </w:rPr>
              <w:t>MAC-CE activation command in slot n</w:t>
            </w:r>
            <w:r w:rsidRPr="00F60098">
              <w:rPr>
                <w:rFonts w:ascii="Times New Roman" w:hAnsi="Times New Roman" w:cs="Times New Roman"/>
                <w:sz w:val="20"/>
                <w:szCs w:val="20"/>
              </w:rPr>
              <w:t xml:space="preserve">, UE shall be able to receive </w:t>
            </w:r>
            <w:r w:rsidRPr="00F60098">
              <w:rPr>
                <w:rFonts w:ascii="Times New Roman" w:eastAsia="Malgun Gothic" w:hAnsi="Times New Roman" w:cs="Times New Roman"/>
                <w:sz w:val="20"/>
                <w:szCs w:val="20"/>
                <w:lang w:eastAsia="zh-TW"/>
              </w:rPr>
              <w:t>UE-dedicated PDCCH/PDSCH</w:t>
            </w:r>
            <w:r w:rsidRPr="00F60098">
              <w:rPr>
                <w:rFonts w:ascii="Times New Roman" w:hAnsi="Times New Roman" w:cs="Times New Roman"/>
                <w:sz w:val="20"/>
                <w:szCs w:val="20"/>
              </w:rPr>
              <w:t xml:space="preserve"> with target </w:t>
            </w:r>
            <w:r w:rsidRPr="00F60098">
              <w:rPr>
                <w:rFonts w:ascii="Times New Roman" w:eastAsia="Malgun Gothic" w:hAnsi="Times New Roman" w:cs="Times New Roman"/>
                <w:sz w:val="20"/>
                <w:szCs w:val="20"/>
              </w:rPr>
              <w:t>TCI state</w:t>
            </w:r>
            <w:r w:rsidRPr="00F60098">
              <w:rPr>
                <w:rFonts w:ascii="Times New Roman" w:hAnsi="Times New Roman" w:cs="Times New Roman"/>
                <w:sz w:val="20"/>
                <w:szCs w:val="20"/>
              </w:rPr>
              <w:t xml:space="preserve"> </w:t>
            </w:r>
            <w:r w:rsidRPr="00F60098">
              <w:rPr>
                <w:rFonts w:ascii="Times New Roman" w:eastAsia="Malgun Gothic" w:hAnsi="Times New Roman" w:cs="Times New Roman"/>
                <w:sz w:val="20"/>
                <w:szCs w:val="20"/>
              </w:rPr>
              <w:t>of</w:t>
            </w:r>
            <w:r w:rsidRPr="00F60098">
              <w:rPr>
                <w:rFonts w:ascii="Times New Roman" w:hAnsi="Times New Roman" w:cs="Times New Roman"/>
                <w:sz w:val="20"/>
                <w:szCs w:val="20"/>
              </w:rPr>
              <w:t xml:space="preserve"> the serving cell on which </w:t>
            </w:r>
            <w:r w:rsidRPr="00F60098">
              <w:rPr>
                <w:rFonts w:ascii="Times New Roman" w:eastAsia="Malgun Gothic" w:hAnsi="Times New Roman" w:cs="Times New Roman"/>
                <w:sz w:val="20"/>
                <w:szCs w:val="20"/>
              </w:rPr>
              <w:t>TCI state</w:t>
            </w:r>
            <w:r w:rsidRPr="00F60098">
              <w:rPr>
                <w:rFonts w:ascii="Times New Roman" w:hAnsi="Times New Roman" w:cs="Times New Roman"/>
                <w:sz w:val="20"/>
                <w:szCs w:val="20"/>
              </w:rPr>
              <w:t xml:space="preserve"> switch occurs </w:t>
            </w:r>
            <w:r w:rsidRPr="00F60098">
              <w:rPr>
                <w:rFonts w:ascii="Times New Roman" w:eastAsia="Malgun Gothic" w:hAnsi="Times New Roman" w:cs="Times New Roman"/>
                <w:sz w:val="20"/>
                <w:szCs w:val="20"/>
              </w:rPr>
              <w:t>at the first slot that is after</w:t>
            </w:r>
            <w:r w:rsidRPr="00F60098" w:rsidDel="00024E91">
              <w:rPr>
                <w:rFonts w:ascii="Times New Roman" w:hAnsi="Times New Roman" w:cs="Times New Roman"/>
                <w:sz w:val="20"/>
                <w:szCs w:val="20"/>
              </w:rPr>
              <w:t xml:space="preserve"> </w:t>
            </w:r>
            <w:r w:rsidRPr="00F60098">
              <w:rPr>
                <w:rFonts w:ascii="Times New Roman" w:hAnsi="Times New Roman" w:cs="Times New Roman"/>
                <w:sz w:val="20"/>
                <w:szCs w:val="20"/>
              </w:rPr>
              <w:t>slot n+</w:t>
            </w:r>
            <w:r w:rsidRPr="00F60098">
              <w:rPr>
                <w:rFonts w:ascii="Times New Roman" w:eastAsia="Malgun Gothic" w:hAnsi="Times New Roman" w:cs="Times New Roman"/>
                <w:sz w:val="20"/>
                <w:szCs w:val="20"/>
              </w:rPr>
              <w:t xml:space="preserve"> T</w:t>
            </w:r>
            <w:r w:rsidRPr="00F60098">
              <w:rPr>
                <w:rFonts w:ascii="Times New Roman" w:eastAsia="Malgun Gothic" w:hAnsi="Times New Roman" w:cs="Times New Roman"/>
                <w:sz w:val="20"/>
                <w:szCs w:val="20"/>
                <w:vertAlign w:val="subscript"/>
              </w:rPr>
              <w:t>HARQ</w:t>
            </w:r>
            <w:r w:rsidRPr="00F60098">
              <w:rPr>
                <w:rFonts w:ascii="Times New Roman" w:eastAsia="Malgun Gothic" w:hAnsi="Times New Roman" w:cs="Times New Roman"/>
                <w:sz w:val="20"/>
                <w:szCs w:val="20"/>
              </w:rPr>
              <w:t xml:space="preserve"> +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3N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sidRPr="00F60098">
              <w:rPr>
                <w:rFonts w:ascii="Times New Roman" w:eastAsia="Malgun Gothic" w:hAnsi="Times New Roman" w:cs="Times New Roman"/>
                <w:sz w:val="20"/>
                <w:szCs w:val="20"/>
              </w:rPr>
              <w:t>+ TO</w:t>
            </w:r>
            <w:r w:rsidRPr="00F60098">
              <w:rPr>
                <w:rFonts w:ascii="Times New Roman" w:eastAsia="Malgun Gothic" w:hAnsi="Times New Roman" w:cs="Times New Roman"/>
                <w:sz w:val="20"/>
                <w:szCs w:val="20"/>
                <w:vertAlign w:val="subscript"/>
              </w:rPr>
              <w:t>k</w:t>
            </w:r>
            <w:r w:rsidRPr="00F60098">
              <w:rPr>
                <w:rFonts w:ascii="Times New Roman" w:eastAsia="Malgun Gothic" w:hAnsi="Times New Roman" w:cs="Times New Roman"/>
                <w:sz w:val="20"/>
                <w:szCs w:val="20"/>
              </w:rPr>
              <w:t>*(T</w:t>
            </w:r>
            <w:r w:rsidRPr="00F60098">
              <w:rPr>
                <w:rFonts w:ascii="Times New Roman" w:eastAsia="Malgun Gothic" w:hAnsi="Times New Roman" w:cs="Times New Roman"/>
                <w:sz w:val="20"/>
                <w:szCs w:val="20"/>
                <w:vertAlign w:val="subscript"/>
              </w:rPr>
              <w:t xml:space="preserve">first-SSB </w:t>
            </w:r>
            <w:r w:rsidRPr="00F60098">
              <w:rPr>
                <w:rFonts w:ascii="Times New Roman" w:eastAsia="Malgun Gothic" w:hAnsi="Times New Roman" w:cs="Times New Roman"/>
                <w:sz w:val="20"/>
                <w:szCs w:val="20"/>
              </w:rPr>
              <w:t>+ T</w:t>
            </w:r>
            <w:r w:rsidRPr="00F60098">
              <w:rPr>
                <w:rFonts w:ascii="Times New Roman" w:eastAsia="Malgun Gothic" w:hAnsi="Times New Roman" w:cs="Times New Roman"/>
                <w:sz w:val="20"/>
                <w:szCs w:val="20"/>
                <w:vertAlign w:val="subscript"/>
              </w:rPr>
              <w:t>SSB-proc</w:t>
            </w:r>
            <w:r w:rsidRPr="00F60098">
              <w:rPr>
                <w:rFonts w:ascii="Times New Roman" w:eastAsia="Malgun Gothic" w:hAnsi="Times New Roman" w:cs="Times New Roman"/>
                <w:sz w:val="20"/>
                <w:szCs w:val="20"/>
              </w:rPr>
              <w:t>)</w:t>
            </w:r>
            <w:r w:rsidRPr="00F60098">
              <w:rPr>
                <w:rFonts w:ascii="Times New Roman" w:hAnsi="Times New Roman" w:cs="Times New Roman"/>
                <w:sz w:val="20"/>
                <w:szCs w:val="20"/>
              </w:rPr>
              <w:t xml:space="preserve"> / </w:t>
            </w:r>
            <w:r w:rsidRPr="00F60098">
              <w:rPr>
                <w:rFonts w:ascii="Times New Roman" w:hAnsi="Times New Roman" w:cs="Times New Roman"/>
                <w:i/>
                <w:sz w:val="20"/>
                <w:szCs w:val="20"/>
              </w:rPr>
              <w:t>NR slot length</w:t>
            </w:r>
            <w:r w:rsidRPr="00F60098">
              <w:rPr>
                <w:rFonts w:ascii="Times New Roman" w:hAnsi="Times New Roman" w:cs="Times New Roman"/>
                <w:sz w:val="20"/>
                <w:szCs w:val="20"/>
              </w:rPr>
              <w:t xml:space="preserve">. The UE shall be able to receive </w:t>
            </w:r>
            <w:r w:rsidRPr="00F60098">
              <w:rPr>
                <w:rFonts w:ascii="Times New Roman" w:eastAsia="Malgun Gothic" w:hAnsi="Times New Roman" w:cs="Times New Roman"/>
                <w:sz w:val="20"/>
                <w:szCs w:val="20"/>
                <w:lang w:eastAsia="zh-TW"/>
              </w:rPr>
              <w:t>UE-dedicated PDCCH/PDSCH</w:t>
            </w:r>
            <w:r w:rsidRPr="00F60098">
              <w:rPr>
                <w:rFonts w:ascii="Times New Roman" w:hAnsi="Times New Roman" w:cs="Times New Roman"/>
                <w:sz w:val="20"/>
                <w:szCs w:val="20"/>
              </w:rPr>
              <w:t xml:space="preserve"> with the old TCI state until slot n+</w:t>
            </w:r>
            <w:r w:rsidRPr="00F60098">
              <w:rPr>
                <w:rFonts w:ascii="Times New Roman" w:eastAsia="Malgun Gothic" w:hAnsi="Times New Roman" w:cs="Times New Roman"/>
                <w:sz w:val="20"/>
                <w:szCs w:val="20"/>
              </w:rPr>
              <w:t xml:space="preserve"> T</w:t>
            </w:r>
            <w:r w:rsidRPr="00F60098">
              <w:rPr>
                <w:rFonts w:ascii="Times New Roman" w:eastAsia="Malgun Gothic" w:hAnsi="Times New Roman" w:cs="Times New Roman"/>
                <w:sz w:val="20"/>
                <w:szCs w:val="20"/>
                <w:vertAlign w:val="subscript"/>
              </w:rPr>
              <w:t>HARQ</w:t>
            </w:r>
            <w:r w:rsidRPr="00F60098">
              <w:rPr>
                <w:rFonts w:ascii="Times New Roman" w:eastAsia="Malgun Gothic" w:hAnsi="Times New Roman" w:cs="Times New Roman"/>
                <w:sz w:val="20"/>
                <w:szCs w:val="20"/>
              </w:rPr>
              <w:t xml:space="preserve"> +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3N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sidRPr="00F60098" w:rsidDel="00024E91">
              <w:rPr>
                <w:rFonts w:ascii="Times New Roman" w:eastAsia="Malgun Gothic" w:hAnsi="Times New Roman" w:cs="Times New Roman"/>
                <w:sz w:val="20"/>
                <w:szCs w:val="20"/>
              </w:rPr>
              <w:t xml:space="preserve"> </w:t>
            </w:r>
            <w:r w:rsidRPr="00F60098">
              <w:rPr>
                <w:rFonts w:ascii="Times New Roman" w:hAnsi="Times New Roman" w:cs="Times New Roman"/>
                <w:sz w:val="20"/>
                <w:szCs w:val="20"/>
              </w:rPr>
              <w:t>where T</w:t>
            </w:r>
            <w:r w:rsidRPr="00F60098">
              <w:rPr>
                <w:rFonts w:ascii="Times New Roman" w:hAnsi="Times New Roman" w:cs="Times New Roman"/>
                <w:sz w:val="20"/>
                <w:szCs w:val="20"/>
                <w:vertAlign w:val="subscript"/>
              </w:rPr>
              <w:t>HARQ</w:t>
            </w:r>
            <w:r w:rsidRPr="00F60098">
              <w:rPr>
                <w:rFonts w:ascii="Times New Roman" w:hAnsi="Times New Roman" w:cs="Times New Roman"/>
                <w:sz w:val="20"/>
                <w:szCs w:val="20"/>
              </w:rPr>
              <w:t xml:space="preserve"> (in slot) is the timing between DL data transmission and acknowledgement as specified in TS 38.213 [3]</w:t>
            </w:r>
            <w:r w:rsidRPr="00F60098">
              <w:rPr>
                <w:rFonts w:ascii="Times New Roman" w:eastAsia="Malgun Gothic" w:hAnsi="Times New Roman" w:cs="Times New Roman"/>
                <w:sz w:val="20"/>
                <w:szCs w:val="20"/>
              </w:rPr>
              <w:t>;</w:t>
            </w:r>
          </w:p>
          <w:p w14:paraId="4D04D120" w14:textId="77777777" w:rsidR="00F60098" w:rsidRPr="00F60098" w:rsidRDefault="00F60098" w:rsidP="00F60098">
            <w:pPr>
              <w:pStyle w:val="B1"/>
              <w:rPr>
                <w:lang w:eastAsia="zh-CN"/>
              </w:rPr>
            </w:pPr>
            <w:r w:rsidRPr="00F60098">
              <w:rPr>
                <w:lang w:eastAsia="zh-CN"/>
              </w:rPr>
              <w:t>-</w:t>
            </w:r>
            <w:r w:rsidRPr="00F60098">
              <w:rPr>
                <w:lang w:eastAsia="zh-CN"/>
              </w:rPr>
              <w:tab/>
              <w:t>T</w:t>
            </w:r>
            <w:r w:rsidRPr="00F60098">
              <w:rPr>
                <w:vertAlign w:val="subscript"/>
                <w:lang w:eastAsia="zh-CN"/>
              </w:rPr>
              <w:t xml:space="preserve">first-SSB </w:t>
            </w:r>
            <w:r w:rsidRPr="00F60098">
              <w:rPr>
                <w:lang w:eastAsia="zh-CN"/>
              </w:rPr>
              <w:t>is time to first SSB transmission after MAC CE command is decoded by the UE; The SSB shall be the QCL-TypeA or QCL-TypeC to target TCI state</w:t>
            </w:r>
          </w:p>
          <w:p w14:paraId="4CD79DC7" w14:textId="77777777" w:rsidR="00F60098" w:rsidRPr="00F60098" w:rsidRDefault="00F60098" w:rsidP="00F60098">
            <w:pPr>
              <w:pStyle w:val="B1"/>
              <w:rPr>
                <w:lang w:eastAsia="zh-CN"/>
              </w:rPr>
            </w:pPr>
            <w:r w:rsidRPr="00F60098">
              <w:rPr>
                <w:lang w:eastAsia="zh-CN"/>
              </w:rPr>
              <w:t>-</w:t>
            </w:r>
            <w:r w:rsidRPr="00F60098">
              <w:rPr>
                <w:lang w:eastAsia="zh-CN"/>
              </w:rPr>
              <w:tab/>
              <w:t>T</w:t>
            </w:r>
            <w:r w:rsidRPr="00F60098">
              <w:rPr>
                <w:vertAlign w:val="subscript"/>
                <w:lang w:eastAsia="zh-CN"/>
              </w:rPr>
              <w:t xml:space="preserve">SSB-proc </w:t>
            </w:r>
            <w:r w:rsidRPr="00F60098">
              <w:rPr>
                <w:lang w:eastAsia="zh-CN"/>
              </w:rPr>
              <w:t xml:space="preserve">= 2 ms; </w:t>
            </w:r>
          </w:p>
          <w:p w14:paraId="25F6B030" w14:textId="06CCBD61" w:rsidR="00F60098" w:rsidRDefault="00F60098" w:rsidP="00F60098">
            <w:pPr>
              <w:spacing w:afterLines="50" w:after="120"/>
              <w:rPr>
                <w:rFonts w:ascii="Times New Roman" w:hAnsi="Times New Roman" w:cs="Times New Roman"/>
                <w:sz w:val="20"/>
                <w:szCs w:val="20"/>
                <w:u w:val="single"/>
              </w:rPr>
            </w:pPr>
            <w:r w:rsidRPr="00F60098">
              <w:rPr>
                <w:rFonts w:ascii="Times New Roman" w:hAnsi="Times New Roman" w:cs="Times New Roman"/>
                <w:sz w:val="20"/>
                <w:szCs w:val="20"/>
              </w:rPr>
              <w:t>-</w:t>
            </w:r>
            <w:r w:rsidRPr="00F60098">
              <w:rPr>
                <w:rFonts w:ascii="Times New Roman" w:hAnsi="Times New Roman" w:cs="Times New Roman"/>
                <w:sz w:val="20"/>
                <w:szCs w:val="20"/>
              </w:rPr>
              <w:tab/>
              <w:t>TO</w:t>
            </w:r>
            <w:r w:rsidRPr="00F60098">
              <w:rPr>
                <w:rFonts w:ascii="Times New Roman" w:hAnsi="Times New Roman" w:cs="Times New Roman"/>
                <w:sz w:val="20"/>
                <w:szCs w:val="20"/>
                <w:vertAlign w:val="subscript"/>
              </w:rPr>
              <w:t>k</w:t>
            </w:r>
            <w:r w:rsidRPr="00F60098">
              <w:rPr>
                <w:rFonts w:ascii="Times New Roman" w:hAnsi="Times New Roman" w:cs="Times New Roman"/>
                <w:sz w:val="20"/>
                <w:szCs w:val="20"/>
              </w:rPr>
              <w:t xml:space="preserve"> = 1 if target TCI state is not in the active TCI state list for PDSCH/PDCCH, 0 otherwise.</w:t>
            </w:r>
          </w:p>
        </w:tc>
      </w:tr>
    </w:tbl>
    <w:p w14:paraId="48E8B10C" w14:textId="77777777" w:rsidR="00F60098" w:rsidRDefault="00F60098" w:rsidP="002335D3">
      <w:pPr>
        <w:spacing w:afterLines="50" w:after="120"/>
        <w:rPr>
          <w:rFonts w:ascii="Times New Roman" w:hAnsi="Times New Roman" w:cs="Times New Roman"/>
          <w:sz w:val="20"/>
          <w:szCs w:val="20"/>
          <w:u w:val="single"/>
        </w:rPr>
      </w:pPr>
    </w:p>
    <w:p w14:paraId="1AEA22FC" w14:textId="06357FB9" w:rsidR="00462C1F" w:rsidRPr="00F60098" w:rsidRDefault="00462C1F" w:rsidP="002335D3">
      <w:pPr>
        <w:spacing w:afterLines="50" w:after="120"/>
        <w:rPr>
          <w:rFonts w:ascii="Times New Roman" w:hAnsi="Times New Roman" w:cs="Times New Roman"/>
          <w:sz w:val="20"/>
          <w:szCs w:val="20"/>
        </w:rPr>
      </w:pPr>
      <w:r>
        <w:rPr>
          <w:rFonts w:ascii="Times New Roman" w:hAnsi="Times New Roman" w:cs="Times New Roman"/>
          <w:sz w:val="20"/>
          <w:szCs w:val="20"/>
        </w:rPr>
        <w:t xml:space="preserve">For scenario 2, </w:t>
      </w:r>
      <w:r>
        <w:rPr>
          <w:rFonts w:ascii="Times New Roman" w:hAnsi="Times New Roman" w:cs="Times New Roman" w:hint="eastAsia"/>
          <w:sz w:val="20"/>
          <w:szCs w:val="20"/>
        </w:rPr>
        <w:t>UE is not configured with PL offset in joint/UL TCI state(s) and UE may expect to receive SSB from UL TRP(s)</w:t>
      </w:r>
      <w:r>
        <w:rPr>
          <w:rFonts w:ascii="Times New Roman" w:hAnsi="Times New Roman" w:cs="Times New Roman"/>
          <w:sz w:val="20"/>
          <w:szCs w:val="20"/>
        </w:rPr>
        <w:t xml:space="preserve">, </w:t>
      </w:r>
      <w:r w:rsidR="005553EC">
        <w:rPr>
          <w:rFonts w:ascii="Times New Roman" w:hAnsi="Times New Roman" w:cs="Times New Roman"/>
          <w:sz w:val="20"/>
          <w:szCs w:val="20"/>
        </w:rPr>
        <w:t>SSB can be used for UL TCI state activation. Therefore,</w:t>
      </w:r>
      <w:r>
        <w:rPr>
          <w:rFonts w:ascii="Times New Roman" w:hAnsi="Times New Roman" w:cs="Times New Roman"/>
          <w:sz w:val="20"/>
          <w:szCs w:val="20"/>
        </w:rPr>
        <w:t xml:space="preserve"> legacy UL TCI state requirement can be re-used for UL TRP.</w:t>
      </w:r>
    </w:p>
    <w:p w14:paraId="7B7D1599" w14:textId="08C8B80D" w:rsidR="00D91CB4" w:rsidRDefault="00D91CB4" w:rsidP="00D91CB4">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w:t>
      </w:r>
      <w:r w:rsidR="008F2E90">
        <w:rPr>
          <w:rFonts w:ascii="Times New Roman" w:hAnsi="Times New Roman" w:cs="Times New Roman"/>
          <w:b/>
          <w:bCs/>
          <w:sz w:val="20"/>
          <w:szCs w:val="20"/>
        </w:rPr>
        <w:t>2</w:t>
      </w:r>
      <w:r w:rsidRPr="00523A2F">
        <w:rPr>
          <w:rFonts w:ascii="Times New Roman" w:hAnsi="Times New Roman" w:cs="Times New Roman"/>
          <w:b/>
          <w:bCs/>
          <w:sz w:val="20"/>
          <w:szCs w:val="20"/>
        </w:rPr>
        <w:t>: For</w:t>
      </w:r>
      <w:r w:rsidR="005553EC">
        <w:rPr>
          <w:rFonts w:ascii="Times New Roman" w:hAnsi="Times New Roman" w:cs="Times New Roman"/>
          <w:b/>
          <w:bCs/>
          <w:sz w:val="20"/>
          <w:szCs w:val="20"/>
        </w:rPr>
        <w:t xml:space="preserve"> scenario 2</w:t>
      </w:r>
      <w:r w:rsidRPr="00523A2F">
        <w:rPr>
          <w:rFonts w:ascii="Times New Roman" w:hAnsi="Times New Roman" w:cs="Times New Roman"/>
          <w:b/>
          <w:bCs/>
          <w:sz w:val="20"/>
          <w:szCs w:val="20"/>
        </w:rPr>
        <w:t xml:space="preserve">, legacy </w:t>
      </w:r>
      <w:r w:rsidR="00C33286">
        <w:rPr>
          <w:rFonts w:ascii="Times New Roman" w:hAnsi="Times New Roman" w:cs="Times New Roman"/>
          <w:b/>
          <w:bCs/>
          <w:sz w:val="20"/>
          <w:szCs w:val="20"/>
        </w:rPr>
        <w:t>SSB</w:t>
      </w:r>
      <w:r w:rsidR="00C33286" w:rsidRPr="00523A2F">
        <w:rPr>
          <w:rFonts w:ascii="Times New Roman" w:hAnsi="Times New Roman" w:cs="Times New Roman"/>
          <w:b/>
          <w:bCs/>
          <w:sz w:val="20"/>
          <w:szCs w:val="20"/>
        </w:rPr>
        <w:t xml:space="preserve"> </w:t>
      </w:r>
      <w:r w:rsidR="00C33286">
        <w:rPr>
          <w:rFonts w:ascii="Times New Roman" w:hAnsi="Times New Roman" w:cs="Times New Roman"/>
          <w:b/>
          <w:bCs/>
          <w:sz w:val="20"/>
          <w:szCs w:val="20"/>
        </w:rPr>
        <w:t xml:space="preserve">based </w:t>
      </w:r>
      <w:r w:rsidRPr="00523A2F">
        <w:rPr>
          <w:rFonts w:ascii="Times New Roman" w:hAnsi="Times New Roman" w:cs="Times New Roman"/>
          <w:b/>
          <w:bCs/>
          <w:sz w:val="20"/>
          <w:szCs w:val="20"/>
        </w:rPr>
        <w:t>UL TCI state activation requirement can be re-used.</w:t>
      </w:r>
    </w:p>
    <w:p w14:paraId="4C068DC3" w14:textId="1D5ED693" w:rsidR="00650497" w:rsidRDefault="00650497" w:rsidP="00650497">
      <w:pPr>
        <w:spacing w:beforeLines="100" w:before="240" w:afterLines="100" w:after="240"/>
        <w:rPr>
          <w:rFonts w:ascii="Times New Roman" w:hAnsi="Times New Roman" w:cs="Times New Roman"/>
          <w:sz w:val="20"/>
          <w:szCs w:val="20"/>
          <w:u w:val="single"/>
        </w:rPr>
      </w:pPr>
      <w:r w:rsidRPr="00523A2F">
        <w:rPr>
          <w:rFonts w:ascii="Times New Roman" w:hAnsi="Times New Roman" w:cs="Times New Roman"/>
          <w:sz w:val="20"/>
          <w:szCs w:val="20"/>
          <w:u w:val="single"/>
        </w:rPr>
        <w:t>Two TA</w:t>
      </w:r>
    </w:p>
    <w:tbl>
      <w:tblPr>
        <w:tblStyle w:val="a4"/>
        <w:tblW w:w="0" w:type="auto"/>
        <w:tblLook w:val="04A0" w:firstRow="1" w:lastRow="0" w:firstColumn="1" w:lastColumn="0" w:noHBand="0" w:noVBand="1"/>
      </w:tblPr>
      <w:tblGrid>
        <w:gridCol w:w="10478"/>
      </w:tblGrid>
      <w:tr w:rsidR="00A64909" w14:paraId="49AE6A3E" w14:textId="77777777" w:rsidTr="00A64909">
        <w:tc>
          <w:tcPr>
            <w:tcW w:w="10478" w:type="dxa"/>
          </w:tcPr>
          <w:p w14:paraId="432EB341" w14:textId="77777777" w:rsidR="00A64909" w:rsidRPr="00A64909" w:rsidRDefault="00A64909" w:rsidP="00A64909">
            <w:pPr>
              <w:rPr>
                <w:rFonts w:ascii="Times New Roman" w:hAnsi="Times New Roman" w:cs="Times New Roman"/>
                <w:b/>
                <w:sz w:val="20"/>
                <w:szCs w:val="20"/>
                <w:u w:val="single"/>
                <w:lang w:eastAsia="ko-KR"/>
              </w:rPr>
            </w:pPr>
            <w:r w:rsidRPr="00A64909">
              <w:rPr>
                <w:rFonts w:ascii="Times New Roman" w:hAnsi="Times New Roman" w:cs="Times New Roman"/>
                <w:b/>
                <w:sz w:val="20"/>
                <w:szCs w:val="20"/>
                <w:u w:val="single"/>
                <w:lang w:eastAsia="ko-KR"/>
              </w:rPr>
              <w:t>Issue 2-1: Whether RAN4 need to consider the scenario when UE is/isn’t configured with pathloss offset?</w:t>
            </w:r>
          </w:p>
          <w:p w14:paraId="719F9037" w14:textId="77777777" w:rsidR="00A64909" w:rsidRPr="00A64909" w:rsidRDefault="00A64909" w:rsidP="00A64909">
            <w:pPr>
              <w:snapToGrid w:val="0"/>
              <w:spacing w:after="120"/>
              <w:rPr>
                <w:rFonts w:ascii="Times New Roman" w:eastAsia="等线" w:hAnsi="Times New Roman" w:cs="Times New Roman"/>
                <w:bCs/>
                <w:sz w:val="20"/>
                <w:szCs w:val="20"/>
              </w:rPr>
            </w:pPr>
            <w:r w:rsidRPr="00A64909">
              <w:rPr>
                <w:rFonts w:ascii="Times New Roman" w:eastAsia="等线" w:hAnsi="Times New Roman" w:cs="Times New Roman"/>
                <w:bCs/>
                <w:sz w:val="20"/>
                <w:szCs w:val="20"/>
              </w:rPr>
              <w:t>Agreement:</w:t>
            </w:r>
          </w:p>
          <w:p w14:paraId="116C7263" w14:textId="77777777" w:rsidR="00A64909" w:rsidRPr="00A64909" w:rsidRDefault="00A64909" w:rsidP="00A64909">
            <w:pPr>
              <w:snapToGrid w:val="0"/>
              <w:spacing w:after="120"/>
              <w:ind w:left="420"/>
              <w:rPr>
                <w:rFonts w:ascii="Times New Roman" w:hAnsi="Times New Roman" w:cs="Times New Roman"/>
                <w:sz w:val="20"/>
                <w:szCs w:val="20"/>
              </w:rPr>
            </w:pPr>
            <w:r w:rsidRPr="00A64909">
              <w:rPr>
                <w:rFonts w:ascii="Times New Roman" w:eastAsia="等线" w:hAnsi="Times New Roman" w:cs="Times New Roman"/>
                <w:bCs/>
                <w:sz w:val="20"/>
                <w:szCs w:val="20"/>
              </w:rPr>
              <w:t xml:space="preserve">For </w:t>
            </w:r>
            <w:r w:rsidRPr="00A64909">
              <w:rPr>
                <w:rFonts w:ascii="Times New Roman" w:hAnsi="Times New Roman" w:cs="Times New Roman"/>
                <w:sz w:val="20"/>
                <w:szCs w:val="20"/>
              </w:rPr>
              <w:t xml:space="preserve">Scenario#1: RAN4 define the timing requirements for FR1, FFS on FR2. </w:t>
            </w:r>
          </w:p>
          <w:p w14:paraId="086D02BB" w14:textId="77777777" w:rsidR="00A64909" w:rsidRPr="00A64909" w:rsidRDefault="00A64909" w:rsidP="00A64909">
            <w:pPr>
              <w:snapToGrid w:val="0"/>
              <w:spacing w:after="120"/>
              <w:ind w:left="420"/>
              <w:rPr>
                <w:rFonts w:ascii="Times New Roman" w:hAnsi="Times New Roman" w:cs="Times New Roman"/>
                <w:sz w:val="20"/>
                <w:szCs w:val="20"/>
              </w:rPr>
            </w:pPr>
            <w:r w:rsidRPr="00A64909">
              <w:rPr>
                <w:rFonts w:ascii="Times New Roman" w:hAnsi="Times New Roman" w:cs="Times New Roman"/>
                <w:sz w:val="20"/>
                <w:szCs w:val="20"/>
              </w:rPr>
              <w:t xml:space="preserve">For Scenario#2, FFS on whether to reuse the legacy timing requirements (Rel-18 m-DCI two TA with updated or not).  </w:t>
            </w:r>
          </w:p>
          <w:p w14:paraId="590E6D57" w14:textId="77777777" w:rsidR="00A64909" w:rsidRPr="00A64909" w:rsidRDefault="00A64909" w:rsidP="00A64909">
            <w:pPr>
              <w:snapToGrid w:val="0"/>
              <w:spacing w:after="120"/>
              <w:ind w:left="420"/>
              <w:rPr>
                <w:rFonts w:ascii="Times New Roman" w:hAnsi="Times New Roman" w:cs="Times New Roman"/>
                <w:sz w:val="20"/>
                <w:szCs w:val="20"/>
              </w:rPr>
            </w:pPr>
            <w:r w:rsidRPr="00A64909">
              <w:rPr>
                <w:rFonts w:ascii="Times New Roman" w:hAnsi="Times New Roman" w:cs="Times New Roman"/>
                <w:sz w:val="20"/>
                <w:szCs w:val="20"/>
              </w:rPr>
              <w:t>RAN4 common understanding: the RAN1 agreements in RAN1#118bis “</w:t>
            </w:r>
            <w:r w:rsidRPr="00A64909">
              <w:rPr>
                <w:rFonts w:ascii="Times New Roman" w:hAnsi="Times New Roman" w:cs="Times New Roman"/>
                <w:sz w:val="20"/>
                <w:szCs w:val="20"/>
                <w:lang w:val="en-CA"/>
              </w:rPr>
              <w:t>One downlink reference timing is supported and applied to both TAGs.</w:t>
            </w:r>
            <w:r w:rsidRPr="00A64909">
              <w:rPr>
                <w:rFonts w:ascii="Times New Roman" w:hAnsi="Times New Roman" w:cs="Times New Roman"/>
                <w:sz w:val="20"/>
                <w:szCs w:val="20"/>
              </w:rPr>
              <w:t xml:space="preserve">” are </w:t>
            </w:r>
            <w:r w:rsidRPr="00A64909">
              <w:rPr>
                <w:rFonts w:ascii="Times New Roman" w:hAnsi="Times New Roman" w:cs="Times New Roman"/>
                <w:sz w:val="20"/>
                <w:szCs w:val="20"/>
                <w:u w:val="single"/>
              </w:rPr>
              <w:t>currently</w:t>
            </w:r>
            <w:r w:rsidRPr="00A64909">
              <w:rPr>
                <w:rFonts w:ascii="Times New Roman" w:hAnsi="Times New Roman" w:cs="Times New Roman"/>
                <w:sz w:val="20"/>
                <w:szCs w:val="20"/>
              </w:rPr>
              <w:t xml:space="preserve"> only applied for Scenario #1.</w:t>
            </w:r>
          </w:p>
          <w:p w14:paraId="19857F4B" w14:textId="77777777" w:rsidR="00A64909" w:rsidRPr="00A64909" w:rsidRDefault="00A64909" w:rsidP="00A64909">
            <w:pPr>
              <w:pStyle w:val="a5"/>
              <w:numPr>
                <w:ilvl w:val="0"/>
                <w:numId w:val="17"/>
              </w:numPr>
              <w:snapToGrid w:val="0"/>
              <w:spacing w:after="120" w:line="276" w:lineRule="auto"/>
              <w:ind w:left="1260" w:firstLineChars="0"/>
              <w:rPr>
                <w:rFonts w:ascii="Times New Roman" w:hAnsi="Times New Roman" w:cs="Times New Roman"/>
                <w:sz w:val="20"/>
                <w:szCs w:val="20"/>
              </w:rPr>
            </w:pPr>
            <w:r w:rsidRPr="00A64909">
              <w:rPr>
                <w:rFonts w:ascii="Times New Roman" w:hAnsi="Times New Roman" w:cs="Times New Roman"/>
                <w:sz w:val="20"/>
                <w:szCs w:val="20"/>
              </w:rPr>
              <w:t>Scenario#1: if UE is configured with PL offset in joint/UL TCI state(s), UE does not expect to receive SSB from UL TRP(s)</w:t>
            </w:r>
          </w:p>
          <w:p w14:paraId="31712E2C" w14:textId="77777777" w:rsidR="00A64909" w:rsidRPr="00A64909" w:rsidRDefault="00A64909" w:rsidP="00A64909">
            <w:pPr>
              <w:pStyle w:val="a5"/>
              <w:numPr>
                <w:ilvl w:val="0"/>
                <w:numId w:val="17"/>
              </w:numPr>
              <w:snapToGrid w:val="0"/>
              <w:spacing w:after="120" w:line="276" w:lineRule="auto"/>
              <w:ind w:left="1260" w:firstLineChars="0"/>
              <w:rPr>
                <w:rFonts w:ascii="Times New Roman" w:hAnsi="Times New Roman" w:cs="Times New Roman"/>
                <w:sz w:val="20"/>
                <w:szCs w:val="20"/>
              </w:rPr>
            </w:pPr>
            <w:r w:rsidRPr="00A64909">
              <w:rPr>
                <w:rFonts w:ascii="Times New Roman" w:hAnsi="Times New Roman" w:cs="Times New Roman"/>
                <w:sz w:val="20"/>
                <w:szCs w:val="20"/>
              </w:rPr>
              <w:t>Scenario#2: if UE is not configured with PL offset in joint/UL TCI state(s), UE expect to receive SSB from UL TRP(s).</w:t>
            </w:r>
          </w:p>
          <w:p w14:paraId="5E05243A" w14:textId="77777777" w:rsidR="00A64909" w:rsidRPr="00A64909" w:rsidRDefault="00A64909" w:rsidP="00A64909">
            <w:pPr>
              <w:snapToGrid w:val="0"/>
              <w:spacing w:after="120"/>
              <w:ind w:left="420"/>
              <w:rPr>
                <w:rFonts w:ascii="Times New Roman" w:eastAsia="等线" w:hAnsi="Times New Roman" w:cs="Times New Roman"/>
                <w:sz w:val="20"/>
                <w:szCs w:val="20"/>
                <w:u w:val="single"/>
              </w:rPr>
            </w:pPr>
            <w:r w:rsidRPr="00A64909">
              <w:rPr>
                <w:rFonts w:ascii="Times New Roman" w:eastAsia="等线" w:hAnsi="Times New Roman" w:cs="Times New Roman"/>
                <w:sz w:val="20"/>
                <w:szCs w:val="20"/>
                <w:u w:val="single"/>
              </w:rPr>
              <w:t>Note 1: the scenario 1 and 2 are based on RAN1 LS.</w:t>
            </w:r>
          </w:p>
          <w:p w14:paraId="02D893E5" w14:textId="461DCC38" w:rsidR="00A64909" w:rsidRPr="00A64909" w:rsidRDefault="00A64909" w:rsidP="00A64909">
            <w:pPr>
              <w:snapToGrid w:val="0"/>
              <w:spacing w:after="120"/>
              <w:ind w:left="420"/>
              <w:rPr>
                <w:rFonts w:ascii="Times New Roman" w:eastAsia="等线" w:hAnsi="Times New Roman" w:cs="Times New Roman"/>
                <w:sz w:val="20"/>
                <w:szCs w:val="20"/>
                <w:u w:val="single"/>
              </w:rPr>
            </w:pPr>
            <w:r w:rsidRPr="00A64909">
              <w:rPr>
                <w:rFonts w:ascii="Times New Roman" w:eastAsia="等线" w:hAnsi="Times New Roman" w:cs="Times New Roman"/>
                <w:sz w:val="20"/>
                <w:szCs w:val="20"/>
                <w:u w:val="single"/>
              </w:rPr>
              <w:t>Note 2: The above agreements apply when 2TA are configured.</w:t>
            </w:r>
          </w:p>
        </w:tc>
      </w:tr>
    </w:tbl>
    <w:p w14:paraId="3631B30C" w14:textId="7E8070B5" w:rsidR="00A64909" w:rsidRDefault="00AE4638" w:rsidP="00650497">
      <w:pPr>
        <w:spacing w:beforeLines="100" w:before="240" w:afterLines="100" w:after="240"/>
        <w:rPr>
          <w:rFonts w:ascii="Times New Roman" w:hAnsi="Times New Roman" w:cs="Times New Roman"/>
          <w:sz w:val="20"/>
          <w:szCs w:val="20"/>
        </w:rPr>
      </w:pPr>
      <w:r w:rsidRPr="00AE4638">
        <w:rPr>
          <w:rFonts w:ascii="Times New Roman" w:hAnsi="Times New Roman" w:cs="Times New Roman"/>
          <w:sz w:val="20"/>
          <w:szCs w:val="20"/>
        </w:rPr>
        <w:t xml:space="preserve">In last meeting, </w:t>
      </w:r>
      <w:r>
        <w:rPr>
          <w:rFonts w:ascii="Times New Roman" w:hAnsi="Times New Roman" w:cs="Times New Roman"/>
          <w:sz w:val="20"/>
          <w:szCs w:val="20"/>
        </w:rPr>
        <w:t>RAN4 sent to LS to RAN1 to check whether one downlink reference timing can be applied for scenario 2.</w:t>
      </w:r>
    </w:p>
    <w:tbl>
      <w:tblPr>
        <w:tblStyle w:val="a4"/>
        <w:tblW w:w="0" w:type="auto"/>
        <w:tblLook w:val="04A0" w:firstRow="1" w:lastRow="0" w:firstColumn="1" w:lastColumn="0" w:noHBand="0" w:noVBand="1"/>
      </w:tblPr>
      <w:tblGrid>
        <w:gridCol w:w="10478"/>
      </w:tblGrid>
      <w:tr w:rsidR="00AE4638" w14:paraId="33C247E3" w14:textId="77777777" w:rsidTr="00AE4638">
        <w:tc>
          <w:tcPr>
            <w:tcW w:w="10478" w:type="dxa"/>
          </w:tcPr>
          <w:p w14:paraId="3F4C91B4" w14:textId="77777777" w:rsidR="00AE4638" w:rsidRDefault="00AE4638" w:rsidP="00AE4638">
            <w:pPr>
              <w:spacing w:after="120"/>
              <w:rPr>
                <w:rFonts w:ascii="Times New Roman" w:hAnsi="Times New Roman"/>
                <w:sz w:val="20"/>
                <w:szCs w:val="20"/>
              </w:rPr>
            </w:pPr>
            <w:r>
              <w:rPr>
                <w:rFonts w:ascii="Times New Roman" w:hAnsi="Times New Roman" w:cs="Times New Roman" w:hint="eastAsia"/>
                <w:sz w:val="20"/>
                <w:szCs w:val="20"/>
              </w:rPr>
              <w:t>Based on RAN1 LS (</w:t>
            </w:r>
            <w:r>
              <w:rPr>
                <w:rFonts w:ascii="Times New Roman" w:hAnsi="Times New Roman" w:cs="Times New Roman"/>
                <w:sz w:val="20"/>
              </w:rPr>
              <w:t>R1-2410870</w:t>
            </w:r>
            <w:r>
              <w:rPr>
                <w:rFonts w:ascii="Times New Roman" w:hAnsi="Times New Roman" w:cs="Times New Roman" w:hint="eastAsia"/>
                <w:sz w:val="20"/>
                <w:szCs w:val="20"/>
              </w:rPr>
              <w:t xml:space="preserve">), RAN4 discussed timing requirement for two TA enhancement for asymmetric DL sTRP/ UL mTRP. RAN4 would like to check with RAN1 whether RAN1 agreements in RAN1#118bis </w:t>
            </w:r>
            <w:r>
              <w:rPr>
                <w:rFonts w:ascii="Times New Roman" w:hAnsi="Times New Roman" w:cs="Times New Roman"/>
                <w:sz w:val="20"/>
                <w:szCs w:val="20"/>
              </w:rPr>
              <w:t>“</w:t>
            </w:r>
            <w:r>
              <w:rPr>
                <w:rFonts w:ascii="Times New Roman" w:hAnsi="Times New Roman" w:cs="Times New Roman" w:hint="eastAsia"/>
                <w:sz w:val="20"/>
                <w:szCs w:val="20"/>
              </w:rPr>
              <w:t>One downlink reference timing is supported and applied to both TAGs</w:t>
            </w:r>
            <w:r>
              <w:rPr>
                <w:rFonts w:ascii="Times New Roman" w:hAnsi="Times New Roman" w:cs="Times New Roman"/>
                <w:sz w:val="20"/>
                <w:szCs w:val="20"/>
              </w:rPr>
              <w:t>”</w:t>
            </w:r>
            <w:r>
              <w:rPr>
                <w:rFonts w:ascii="Times New Roman" w:hAnsi="Times New Roman" w:cs="Times New Roman" w:hint="eastAsia"/>
                <w:sz w:val="20"/>
                <w:szCs w:val="20"/>
              </w:rPr>
              <w:t xml:space="preserve"> are applied for the scenario that UE is not configured with PL offset in joint/UL TCI state(s) and UE may expect to receive SSB from UL TRP(s).</w:t>
            </w:r>
          </w:p>
          <w:p w14:paraId="777E6FBE" w14:textId="77777777" w:rsidR="00AE4638" w:rsidRDefault="00AE4638" w:rsidP="00AE4638">
            <w:pPr>
              <w:spacing w:after="120"/>
              <w:rPr>
                <w:rFonts w:ascii="Times New Roman" w:hAnsi="Times New Roman"/>
                <w:sz w:val="20"/>
                <w:szCs w:val="20"/>
              </w:rPr>
            </w:pPr>
          </w:p>
          <w:p w14:paraId="4891C58F" w14:textId="77777777" w:rsidR="00AE4638" w:rsidRDefault="00AE4638" w:rsidP="00AE4638">
            <w:pPr>
              <w:rPr>
                <w:rFonts w:ascii="Times New Roman" w:hAnsi="Times New Roman"/>
                <w:b/>
                <w:sz w:val="20"/>
                <w:szCs w:val="20"/>
              </w:rPr>
            </w:pPr>
            <w:r>
              <w:rPr>
                <w:rFonts w:ascii="Times New Roman" w:hAnsi="Times New Roman" w:cs="Times New Roman"/>
                <w:b/>
                <w:sz w:val="20"/>
                <w:szCs w:val="20"/>
              </w:rPr>
              <w:t>2. Actions:</w:t>
            </w:r>
          </w:p>
          <w:p w14:paraId="1B54CA68" w14:textId="77777777" w:rsidR="00AE4638" w:rsidRDefault="00AE4638" w:rsidP="00AE4638">
            <w:pPr>
              <w:spacing w:after="120"/>
              <w:ind w:left="1985" w:hanging="1985"/>
              <w:rPr>
                <w:rFonts w:ascii="Times New Roman" w:hAnsi="Times New Roman"/>
                <w:b/>
                <w:sz w:val="20"/>
                <w:szCs w:val="20"/>
              </w:rPr>
            </w:pPr>
            <w:r>
              <w:rPr>
                <w:rFonts w:ascii="Times New Roman" w:hAnsi="Times New Roman" w:cs="Times New Roman"/>
                <w:b/>
                <w:sz w:val="20"/>
                <w:szCs w:val="20"/>
              </w:rPr>
              <w:t>To: RAN WG1</w:t>
            </w:r>
          </w:p>
          <w:p w14:paraId="166ECD2F" w14:textId="09710AC5" w:rsidR="00AE4638" w:rsidRPr="00AE4638" w:rsidRDefault="00AE4638" w:rsidP="00AE4638">
            <w:pPr>
              <w:spacing w:after="120"/>
              <w:ind w:left="993" w:hanging="993"/>
              <w:rPr>
                <w:rFonts w:ascii="Times New Roman" w:hAnsi="Times New Roman"/>
                <w:sz w:val="20"/>
                <w:szCs w:val="20"/>
              </w:rPr>
            </w:pPr>
            <w:r>
              <w:rPr>
                <w:rFonts w:ascii="Times New Roman" w:hAnsi="Times New Roman" w:cs="Times New Roman"/>
                <w:b/>
                <w:sz w:val="20"/>
                <w:szCs w:val="20"/>
              </w:rPr>
              <w:t xml:space="preserve">ACTION: </w:t>
            </w:r>
            <w:r>
              <w:rPr>
                <w:rFonts w:ascii="Times New Roman" w:hAnsi="Times New Roman" w:cs="Times New Roman"/>
                <w:b/>
                <w:sz w:val="20"/>
                <w:szCs w:val="20"/>
              </w:rPr>
              <w:tab/>
            </w:r>
            <w:r>
              <w:rPr>
                <w:rFonts w:ascii="Times New Roman" w:hAnsi="Times New Roman" w:cs="Times New Roman"/>
                <w:sz w:val="20"/>
                <w:szCs w:val="20"/>
              </w:rPr>
              <w:t xml:space="preserve">RAN4 </w:t>
            </w:r>
            <w:r>
              <w:rPr>
                <w:rFonts w:ascii="Times New Roman" w:hAnsi="Times New Roman" w:cs="Times New Roman" w:hint="eastAsia"/>
                <w:sz w:val="20"/>
                <w:szCs w:val="20"/>
              </w:rPr>
              <w:t>respectfully requests RAN1 to provide feedback on the above question</w:t>
            </w:r>
            <w:r>
              <w:rPr>
                <w:rFonts w:ascii="Times New Roman" w:hAnsi="Times New Roman" w:cs="Times New Roman"/>
                <w:sz w:val="20"/>
                <w:szCs w:val="20"/>
              </w:rPr>
              <w:t>.</w:t>
            </w:r>
          </w:p>
        </w:tc>
      </w:tr>
    </w:tbl>
    <w:p w14:paraId="5DADC515" w14:textId="77777777" w:rsidR="00D84BD8" w:rsidRDefault="00AE4638" w:rsidP="00D84BD8">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From our understanding, one DL timing reference is designed for scenario 1 and can’t apply for both DL and UL TRPs for scenarios 2.</w:t>
      </w:r>
      <w:r w:rsidR="00014B78" w:rsidRPr="00523A2F">
        <w:rPr>
          <w:rFonts w:ascii="Times New Roman" w:hAnsi="Times New Roman" w:cs="Times New Roman"/>
          <w:sz w:val="20"/>
          <w:szCs w:val="20"/>
        </w:rPr>
        <w:t xml:space="preserve"> </w:t>
      </w:r>
      <w:r w:rsidR="00014B78">
        <w:rPr>
          <w:rFonts w:ascii="Times New Roman" w:hAnsi="Times New Roman" w:cs="Times New Roman"/>
          <w:sz w:val="20"/>
          <w:szCs w:val="20"/>
        </w:rPr>
        <w:t>I</w:t>
      </w:r>
      <w:r w:rsidR="00014B78" w:rsidRPr="00523A2F">
        <w:rPr>
          <w:rFonts w:ascii="Times New Roman" w:hAnsi="Times New Roman" w:cs="Times New Roman"/>
          <w:sz w:val="20"/>
          <w:szCs w:val="20"/>
        </w:rPr>
        <w:t>n Rel-19, an associated TAG ID will also be configured</w:t>
      </w:r>
      <w:r w:rsidR="00014B78">
        <w:rPr>
          <w:rFonts w:ascii="Times New Roman" w:hAnsi="Times New Roman" w:cs="Times New Roman"/>
          <w:sz w:val="20"/>
          <w:szCs w:val="20"/>
        </w:rPr>
        <w:t xml:space="preserve"> for </w:t>
      </w:r>
      <w:r w:rsidR="00014B78" w:rsidRPr="00A64909">
        <w:rPr>
          <w:rFonts w:ascii="Times New Roman" w:hAnsi="Times New Roman" w:cs="Times New Roman"/>
          <w:sz w:val="20"/>
          <w:szCs w:val="20"/>
        </w:rPr>
        <w:t>joint/UL TCI state(s)</w:t>
      </w:r>
      <w:r w:rsidR="00014B78">
        <w:rPr>
          <w:rFonts w:ascii="Times New Roman" w:hAnsi="Times New Roman" w:cs="Times New Roman"/>
          <w:sz w:val="20"/>
          <w:szCs w:val="20"/>
        </w:rPr>
        <w:t xml:space="preserve">. For </w:t>
      </w:r>
      <w:r w:rsidR="00014B78" w:rsidRPr="006F6FE5">
        <w:rPr>
          <w:rFonts w:ascii="Times New Roman" w:hAnsi="Times New Roman" w:cs="Times New Roman"/>
          <w:sz w:val="20"/>
          <w:szCs w:val="20"/>
        </w:rPr>
        <w:t>PUCCH/PUSCH/SRS</w:t>
      </w:r>
      <w:r w:rsidR="00014B78">
        <w:rPr>
          <w:rFonts w:ascii="Times New Roman" w:hAnsi="Times New Roman" w:cs="Times New Roman"/>
          <w:sz w:val="20"/>
          <w:szCs w:val="20"/>
        </w:rPr>
        <w:t xml:space="preserve"> transmission with two TAs, two DL reference timing will be applied for each TAGs respectively. Therefore, legacy multi-DCI based two TA can be re-used.</w:t>
      </w:r>
      <w:r w:rsidR="00D84BD8" w:rsidRPr="00D84BD8">
        <w:rPr>
          <w:rFonts w:ascii="Times New Roman" w:hAnsi="Times New Roman" w:cs="Times New Roman"/>
          <w:sz w:val="20"/>
          <w:szCs w:val="20"/>
        </w:rPr>
        <w:t xml:space="preserve"> </w:t>
      </w:r>
    </w:p>
    <w:p w14:paraId="7F67BCBE" w14:textId="1B310536" w:rsidR="00D84BD8" w:rsidRDefault="00D84BD8" w:rsidP="00D84BD8">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Rel-18 intra-cell mDCI </w:t>
      </w:r>
      <w:r w:rsidRPr="009A08AF">
        <w:rPr>
          <w:rFonts w:ascii="Times New Roman" w:hAnsi="Times New Roman" w:cs="Times New Roman"/>
          <w:sz w:val="20"/>
          <w:szCs w:val="20"/>
        </w:rPr>
        <w:t>PRACH transmission</w:t>
      </w:r>
      <w:r>
        <w:rPr>
          <w:rFonts w:ascii="Times New Roman" w:hAnsi="Times New Roman" w:cs="Times New Roman"/>
          <w:sz w:val="20"/>
          <w:szCs w:val="20"/>
        </w:rPr>
        <w:t xml:space="preserve"> with two TAs, </w:t>
      </w:r>
      <w:r w:rsidRPr="009A08AF">
        <w:rPr>
          <w:rFonts w:ascii="Times New Roman" w:hAnsi="Times New Roman" w:cs="Times New Roman"/>
          <w:sz w:val="20"/>
          <w:szCs w:val="20"/>
        </w:rPr>
        <w:t>coresetPoolIndex</w:t>
      </w:r>
      <w:r>
        <w:rPr>
          <w:rFonts w:ascii="Times New Roman" w:hAnsi="Times New Roman" w:cs="Times New Roman"/>
          <w:sz w:val="20"/>
          <w:szCs w:val="20"/>
        </w:rPr>
        <w:t xml:space="preserve"> is used. While </w:t>
      </w:r>
      <w:r w:rsidRPr="009A08AF">
        <w:rPr>
          <w:rFonts w:ascii="Times New Roman" w:hAnsi="Times New Roman" w:cs="Times New Roman"/>
          <w:sz w:val="20"/>
          <w:szCs w:val="20"/>
        </w:rPr>
        <w:t>coresetPoolIndex</w:t>
      </w:r>
      <w:r>
        <w:rPr>
          <w:rFonts w:ascii="Times New Roman" w:hAnsi="Times New Roman" w:cs="Times New Roman"/>
          <w:sz w:val="20"/>
          <w:szCs w:val="20"/>
        </w:rPr>
        <w:t xml:space="preserve"> will be removed as agreed in RAN1 for Rel-19. The reference timing for PRACH needs to be updated.</w:t>
      </w:r>
    </w:p>
    <w:p w14:paraId="1AAA014E" w14:textId="3926CD8B" w:rsidR="000E63E8" w:rsidRDefault="000E63E8" w:rsidP="007F11C3">
      <w:pPr>
        <w:spacing w:afterLines="50" w:after="120"/>
        <w:rPr>
          <w:rFonts w:ascii="Times New Roman" w:hAnsi="Times New Roman" w:cs="Times New Roman"/>
          <w:color w:val="000000"/>
          <w:sz w:val="20"/>
          <w:szCs w:val="20"/>
        </w:rPr>
      </w:pPr>
      <w:r>
        <w:rPr>
          <w:rFonts w:ascii="Times New Roman" w:hAnsi="Times New Roman" w:cs="Times New Roman"/>
          <w:sz w:val="20"/>
          <w:szCs w:val="20"/>
        </w:rPr>
        <w:lastRenderedPageBreak/>
        <w:t>T</w:t>
      </w:r>
      <w:r w:rsidRPr="006F6FE5">
        <w:rPr>
          <w:rFonts w:ascii="Times New Roman" w:hAnsi="Times New Roman" w:cs="Times New Roman"/>
          <w:sz w:val="20"/>
          <w:szCs w:val="20"/>
        </w:rPr>
        <w:t>he reference point for PUCCH/PUSCH/SRS</w:t>
      </w:r>
      <w:r>
        <w:rPr>
          <w:rFonts w:ascii="Times New Roman" w:hAnsi="Times New Roman" w:cs="Times New Roman"/>
          <w:sz w:val="20"/>
          <w:szCs w:val="20"/>
        </w:rPr>
        <w:t>/PRACH</w:t>
      </w:r>
      <w:r w:rsidRPr="006F6FE5">
        <w:rPr>
          <w:rFonts w:ascii="Times New Roman" w:hAnsi="Times New Roman" w:cs="Times New Roman"/>
          <w:sz w:val="20"/>
          <w:szCs w:val="20"/>
        </w:rPr>
        <w:t xml:space="preserve">, is the first detected path (in time) of one of the corresponding downlink reference signal(s) of the reference cell associated with one of the </w:t>
      </w:r>
      <w:r w:rsidRPr="006F6FE5">
        <w:rPr>
          <w:rFonts w:ascii="Times New Roman" w:hAnsi="Times New Roman" w:cs="Times New Roman"/>
          <w:i/>
          <w:iCs/>
          <w:color w:val="000000"/>
          <w:sz w:val="20"/>
          <w:szCs w:val="20"/>
        </w:rPr>
        <w:t xml:space="preserve">DLorJointTCIState </w:t>
      </w:r>
      <w:r w:rsidRPr="006F6FE5">
        <w:rPr>
          <w:rFonts w:ascii="Times New Roman" w:hAnsi="Times New Roman" w:cs="Times New Roman"/>
          <w:color w:val="000000"/>
          <w:sz w:val="20"/>
          <w:szCs w:val="20"/>
        </w:rPr>
        <w:t>[</w:t>
      </w:r>
      <w:r w:rsidRPr="006F6FE5">
        <w:rPr>
          <w:rFonts w:ascii="Times New Roman" w:hAnsi="Times New Roman" w:cs="Times New Roman"/>
          <w:sz w:val="20"/>
          <w:szCs w:val="20"/>
        </w:rPr>
        <w:t>TS 38.331] having the same TAG as the uplink signal</w:t>
      </w:r>
      <w:r w:rsidRPr="006F6FE5">
        <w:rPr>
          <w:rFonts w:ascii="Times New Roman" w:hAnsi="Times New Roman" w:cs="Times New Roman"/>
          <w:color w:val="000000"/>
          <w:sz w:val="20"/>
          <w:szCs w:val="20"/>
        </w:rPr>
        <w:t>.</w:t>
      </w:r>
    </w:p>
    <w:p w14:paraId="1C6D5AFB" w14:textId="7A5E68F9" w:rsidR="007F11C3" w:rsidRPr="007F11C3" w:rsidRDefault="00495423" w:rsidP="007F11C3">
      <w:pPr>
        <w:rPr>
          <w:rFonts w:ascii="Times New Roman" w:hAnsi="Times New Roman" w:cs="Times New Roman"/>
          <w:b/>
          <w:bCs/>
          <w:color w:val="000000"/>
          <w:sz w:val="20"/>
          <w:szCs w:val="20"/>
        </w:rPr>
      </w:pPr>
      <w:r w:rsidRPr="00B3144D">
        <w:rPr>
          <w:rFonts w:ascii="Times New Roman" w:hAnsi="Times New Roman" w:cs="Times New Roman"/>
          <w:b/>
          <w:bCs/>
          <w:sz w:val="20"/>
          <w:szCs w:val="20"/>
        </w:rPr>
        <w:t xml:space="preserve">Proposal </w:t>
      </w:r>
      <w:r w:rsidR="008F2E90">
        <w:rPr>
          <w:rFonts w:ascii="Times New Roman" w:hAnsi="Times New Roman" w:cs="Times New Roman"/>
          <w:b/>
          <w:bCs/>
          <w:sz w:val="20"/>
          <w:szCs w:val="20"/>
        </w:rPr>
        <w:t>3</w:t>
      </w:r>
      <w:r w:rsidRPr="00B3144D">
        <w:rPr>
          <w:rFonts w:ascii="Times New Roman" w:hAnsi="Times New Roman" w:cs="Times New Roman"/>
          <w:b/>
          <w:bCs/>
          <w:sz w:val="20"/>
          <w:szCs w:val="20"/>
        </w:rPr>
        <w:t xml:space="preserve">: </w:t>
      </w:r>
      <w:r w:rsidR="00B3144D" w:rsidRPr="00B3144D">
        <w:rPr>
          <w:rFonts w:ascii="Times New Roman" w:hAnsi="Times New Roman" w:cs="Times New Roman"/>
          <w:b/>
          <w:bCs/>
          <w:sz w:val="20"/>
          <w:szCs w:val="20"/>
        </w:rPr>
        <w:t xml:space="preserve">For </w:t>
      </w:r>
      <w:r w:rsidR="000E63E8">
        <w:rPr>
          <w:rFonts w:ascii="Times New Roman" w:hAnsi="Times New Roman" w:cs="Times New Roman"/>
          <w:b/>
          <w:bCs/>
          <w:sz w:val="20"/>
          <w:szCs w:val="20"/>
        </w:rPr>
        <w:t>scenario 2</w:t>
      </w:r>
      <w:r w:rsidR="000E63E8" w:rsidRPr="007F11C3">
        <w:rPr>
          <w:rFonts w:ascii="Times New Roman" w:hAnsi="Times New Roman" w:cs="Times New Roman"/>
          <w:b/>
          <w:bCs/>
          <w:sz w:val="20"/>
          <w:szCs w:val="20"/>
        </w:rPr>
        <w:t>,</w:t>
      </w:r>
      <w:r w:rsidR="00B3144D" w:rsidRPr="007F11C3">
        <w:rPr>
          <w:rFonts w:ascii="Times New Roman" w:hAnsi="Times New Roman" w:cs="Times New Roman"/>
          <w:b/>
          <w:bCs/>
          <w:sz w:val="20"/>
          <w:szCs w:val="20"/>
        </w:rPr>
        <w:t xml:space="preserve"> </w:t>
      </w:r>
      <w:r w:rsidR="007F11C3" w:rsidRPr="007F11C3">
        <w:rPr>
          <w:rFonts w:ascii="Times New Roman" w:hAnsi="Times New Roman" w:cs="Times New Roman"/>
          <w:b/>
          <w:bCs/>
          <w:sz w:val="20"/>
          <w:szCs w:val="20"/>
        </w:rPr>
        <w:t xml:space="preserve">the reference point for PUCCH/PUSCH/SRS/PRACH, is the first detected path (in time) of one of the corresponding downlink reference signal(s) of the reference cell associated with one of the </w:t>
      </w:r>
      <w:r w:rsidR="007F11C3" w:rsidRPr="007F11C3">
        <w:rPr>
          <w:rFonts w:ascii="Times New Roman" w:hAnsi="Times New Roman" w:cs="Times New Roman"/>
          <w:b/>
          <w:bCs/>
          <w:i/>
          <w:iCs/>
          <w:color w:val="000000"/>
          <w:sz w:val="20"/>
          <w:szCs w:val="20"/>
        </w:rPr>
        <w:t xml:space="preserve">DLorJointTCIState </w:t>
      </w:r>
      <w:r w:rsidR="007F11C3" w:rsidRPr="007F11C3">
        <w:rPr>
          <w:rFonts w:ascii="Times New Roman" w:hAnsi="Times New Roman" w:cs="Times New Roman"/>
          <w:b/>
          <w:bCs/>
          <w:color w:val="000000"/>
          <w:sz w:val="20"/>
          <w:szCs w:val="20"/>
        </w:rPr>
        <w:t>[</w:t>
      </w:r>
      <w:r w:rsidR="007F11C3" w:rsidRPr="007F11C3">
        <w:rPr>
          <w:rFonts w:ascii="Times New Roman" w:hAnsi="Times New Roman" w:cs="Times New Roman"/>
          <w:b/>
          <w:bCs/>
          <w:sz w:val="20"/>
          <w:szCs w:val="20"/>
        </w:rPr>
        <w:t>TS 38.331] having the same TAG as the uplink signal</w:t>
      </w:r>
      <w:r w:rsidR="007F11C3" w:rsidRPr="007F11C3">
        <w:rPr>
          <w:rFonts w:ascii="Times New Roman" w:hAnsi="Times New Roman" w:cs="Times New Roman"/>
          <w:b/>
          <w:bCs/>
          <w:color w:val="000000"/>
          <w:sz w:val="20"/>
          <w:szCs w:val="20"/>
        </w:rPr>
        <w:t>.</w:t>
      </w:r>
    </w:p>
    <w:p w14:paraId="6832CDE5" w14:textId="21A73CAB" w:rsidR="005A61B6" w:rsidRPr="00FC3AF1" w:rsidRDefault="006E5755" w:rsidP="00710769">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Conclusion</w:t>
      </w:r>
    </w:p>
    <w:p w14:paraId="6361F996" w14:textId="7B95CB7D" w:rsidR="00363556" w:rsidRDefault="00DE3EAA" w:rsidP="00AF606B">
      <w:pPr>
        <w:spacing w:afterLines="50" w:after="120"/>
        <w:rPr>
          <w:rFonts w:ascii="Times New Roman" w:hAnsi="Times New Roman" w:cs="Times New Roman"/>
          <w:sz w:val="20"/>
          <w:szCs w:val="20"/>
        </w:rPr>
      </w:pPr>
      <w:r w:rsidRPr="005E59A8">
        <w:rPr>
          <w:rFonts w:ascii="Times New Roman" w:hAnsi="Times New Roman" w:cs="Times New Roman"/>
          <w:sz w:val="20"/>
          <w:szCs w:val="20"/>
        </w:rPr>
        <w:t>In this contribution, we provide the following proposals</w:t>
      </w:r>
      <w:r w:rsidRPr="005E59A8">
        <w:rPr>
          <w:rFonts w:ascii="Times New Roman" w:hAnsi="Times New Roman" w:cs="Times New Roman"/>
          <w:sz w:val="20"/>
          <w:szCs w:val="20"/>
        </w:rPr>
        <w:t>：</w:t>
      </w:r>
    </w:p>
    <w:p w14:paraId="1B0A2779" w14:textId="77777777" w:rsidR="00C33286" w:rsidRDefault="00C33286" w:rsidP="00C33286">
      <w:pPr>
        <w:spacing w:beforeLines="100" w:before="240" w:afterLines="100" w:after="24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523A2F">
        <w:rPr>
          <w:rFonts w:ascii="Times New Roman" w:hAnsi="Times New Roman" w:cs="Times New Roman"/>
          <w:b/>
          <w:bCs/>
          <w:sz w:val="20"/>
          <w:szCs w:val="20"/>
        </w:rPr>
        <w:t xml:space="preserve">: </w:t>
      </w:r>
      <w:r>
        <w:rPr>
          <w:rFonts w:ascii="Times New Roman" w:hAnsi="Times New Roman" w:cs="Times New Roman"/>
          <w:b/>
          <w:bCs/>
          <w:sz w:val="20"/>
          <w:szCs w:val="20"/>
        </w:rPr>
        <w:t>For scenario 1, F</w:t>
      </w:r>
      <w:r w:rsidRPr="007D71C7">
        <w:rPr>
          <w:rFonts w:ascii="Times New Roman" w:hAnsi="Times New Roman" w:cs="Times New Roman"/>
          <w:b/>
          <w:bCs/>
          <w:sz w:val="20"/>
          <w:szCs w:val="20"/>
        </w:rPr>
        <w:t>ine not to define SRS based TCI state activation requirement for UL-only TR.</w:t>
      </w:r>
    </w:p>
    <w:p w14:paraId="3CAC76D4" w14:textId="2958AF77" w:rsidR="00C33286" w:rsidRDefault="00C33286" w:rsidP="00AF606B">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523A2F">
        <w:rPr>
          <w:rFonts w:ascii="Times New Roman" w:hAnsi="Times New Roman" w:cs="Times New Roman"/>
          <w:b/>
          <w:bCs/>
          <w:sz w:val="20"/>
          <w:szCs w:val="20"/>
        </w:rPr>
        <w:t>: For</w:t>
      </w:r>
      <w:r>
        <w:rPr>
          <w:rFonts w:ascii="Times New Roman" w:hAnsi="Times New Roman" w:cs="Times New Roman"/>
          <w:b/>
          <w:bCs/>
          <w:sz w:val="20"/>
          <w:szCs w:val="20"/>
        </w:rPr>
        <w:t xml:space="preserve"> scenario 2</w:t>
      </w:r>
      <w:r w:rsidRPr="00523A2F">
        <w:rPr>
          <w:rFonts w:ascii="Times New Roman" w:hAnsi="Times New Roman" w:cs="Times New Roman"/>
          <w:b/>
          <w:bCs/>
          <w:sz w:val="20"/>
          <w:szCs w:val="20"/>
        </w:rPr>
        <w:t xml:space="preserve">, legacy </w:t>
      </w:r>
      <w:r>
        <w:rPr>
          <w:rFonts w:ascii="Times New Roman" w:hAnsi="Times New Roman" w:cs="Times New Roman"/>
          <w:b/>
          <w:bCs/>
          <w:sz w:val="20"/>
          <w:szCs w:val="20"/>
        </w:rPr>
        <w:t>SSB</w:t>
      </w:r>
      <w:r w:rsidRPr="00523A2F">
        <w:rPr>
          <w:rFonts w:ascii="Times New Roman" w:hAnsi="Times New Roman" w:cs="Times New Roman"/>
          <w:b/>
          <w:bCs/>
          <w:sz w:val="20"/>
          <w:szCs w:val="20"/>
        </w:rPr>
        <w:t xml:space="preserve"> </w:t>
      </w:r>
      <w:r>
        <w:rPr>
          <w:rFonts w:ascii="Times New Roman" w:hAnsi="Times New Roman" w:cs="Times New Roman"/>
          <w:b/>
          <w:bCs/>
          <w:sz w:val="20"/>
          <w:szCs w:val="20"/>
        </w:rPr>
        <w:t xml:space="preserve">based </w:t>
      </w:r>
      <w:r w:rsidRPr="00523A2F">
        <w:rPr>
          <w:rFonts w:ascii="Times New Roman" w:hAnsi="Times New Roman" w:cs="Times New Roman"/>
          <w:b/>
          <w:bCs/>
          <w:sz w:val="20"/>
          <w:szCs w:val="20"/>
        </w:rPr>
        <w:t>UL TCI state activation requirement can be re-used.</w:t>
      </w:r>
    </w:p>
    <w:p w14:paraId="4A502539" w14:textId="3D28771A" w:rsidR="00C33286" w:rsidRPr="00C33286" w:rsidRDefault="00C33286" w:rsidP="00C33286">
      <w:pPr>
        <w:rPr>
          <w:rFonts w:ascii="Times New Roman" w:hAnsi="Times New Roman" w:cs="Times New Roman"/>
          <w:b/>
          <w:bCs/>
          <w:color w:val="000000"/>
          <w:sz w:val="20"/>
          <w:szCs w:val="20"/>
        </w:rPr>
      </w:pPr>
      <w:r w:rsidRPr="00B3144D">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B3144D">
        <w:rPr>
          <w:rFonts w:ascii="Times New Roman" w:hAnsi="Times New Roman" w:cs="Times New Roman"/>
          <w:b/>
          <w:bCs/>
          <w:sz w:val="20"/>
          <w:szCs w:val="20"/>
        </w:rPr>
        <w:t xml:space="preserve">: For </w:t>
      </w:r>
      <w:r>
        <w:rPr>
          <w:rFonts w:ascii="Times New Roman" w:hAnsi="Times New Roman" w:cs="Times New Roman"/>
          <w:b/>
          <w:bCs/>
          <w:sz w:val="20"/>
          <w:szCs w:val="20"/>
        </w:rPr>
        <w:t>scenario 2</w:t>
      </w:r>
      <w:r w:rsidRPr="007F11C3">
        <w:rPr>
          <w:rFonts w:ascii="Times New Roman" w:hAnsi="Times New Roman" w:cs="Times New Roman"/>
          <w:b/>
          <w:bCs/>
          <w:sz w:val="20"/>
          <w:szCs w:val="20"/>
        </w:rPr>
        <w:t xml:space="preserve">, the reference point for PUCCH/PUSCH/SRS/PRACH, is the first detected path (in time) of one of the corresponding downlink reference signal(s) of the reference cell associated with one of the </w:t>
      </w:r>
      <w:r w:rsidRPr="007F11C3">
        <w:rPr>
          <w:rFonts w:ascii="Times New Roman" w:hAnsi="Times New Roman" w:cs="Times New Roman"/>
          <w:b/>
          <w:bCs/>
          <w:i/>
          <w:iCs/>
          <w:color w:val="000000"/>
          <w:sz w:val="20"/>
          <w:szCs w:val="20"/>
        </w:rPr>
        <w:t xml:space="preserve">DLorJointTCIState </w:t>
      </w:r>
      <w:r w:rsidRPr="007F11C3">
        <w:rPr>
          <w:rFonts w:ascii="Times New Roman" w:hAnsi="Times New Roman" w:cs="Times New Roman"/>
          <w:b/>
          <w:bCs/>
          <w:color w:val="000000"/>
          <w:sz w:val="20"/>
          <w:szCs w:val="20"/>
        </w:rPr>
        <w:t>[</w:t>
      </w:r>
      <w:r w:rsidRPr="007F11C3">
        <w:rPr>
          <w:rFonts w:ascii="Times New Roman" w:hAnsi="Times New Roman" w:cs="Times New Roman"/>
          <w:b/>
          <w:bCs/>
          <w:sz w:val="20"/>
          <w:szCs w:val="20"/>
        </w:rPr>
        <w:t>TS 38.331] having the same TAG as the uplink signal</w:t>
      </w:r>
      <w:r w:rsidRPr="007F11C3">
        <w:rPr>
          <w:rFonts w:ascii="Times New Roman" w:hAnsi="Times New Roman" w:cs="Times New Roman"/>
          <w:b/>
          <w:bCs/>
          <w:color w:val="000000"/>
          <w:sz w:val="20"/>
          <w:szCs w:val="20"/>
        </w:rPr>
        <w:t>.</w:t>
      </w:r>
    </w:p>
    <w:p w14:paraId="7DCF4075" w14:textId="77777777" w:rsidR="00F50240" w:rsidRPr="00FC3AF1" w:rsidRDefault="00F50240" w:rsidP="00F50240">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 xml:space="preserve">Reference </w:t>
      </w:r>
    </w:p>
    <w:sectPr w:rsidR="00F50240" w:rsidRPr="00FC3AF1"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58138" w14:textId="77777777" w:rsidR="007F561C" w:rsidRDefault="007F561C" w:rsidP="00AB0A25">
      <w:r>
        <w:separator/>
      </w:r>
    </w:p>
  </w:endnote>
  <w:endnote w:type="continuationSeparator" w:id="0">
    <w:p w14:paraId="670A823F" w14:textId="77777777" w:rsidR="007F561C" w:rsidRDefault="007F561C"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437C7" w14:textId="77777777" w:rsidR="007F561C" w:rsidRDefault="007F561C" w:rsidP="00AB0A25">
      <w:r>
        <w:separator/>
      </w:r>
    </w:p>
  </w:footnote>
  <w:footnote w:type="continuationSeparator" w:id="0">
    <w:p w14:paraId="3D611DD1" w14:textId="77777777" w:rsidR="007F561C" w:rsidRDefault="007F561C"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99A0E1B"/>
    <w:multiLevelType w:val="hybridMultilevel"/>
    <w:tmpl w:val="CE20234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6"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9"/>
  </w:num>
  <w:num w:numId="4">
    <w:abstractNumId w:val="1"/>
  </w:num>
  <w:num w:numId="5">
    <w:abstractNumId w:val="15"/>
  </w:num>
  <w:num w:numId="6">
    <w:abstractNumId w:val="10"/>
  </w:num>
  <w:num w:numId="7">
    <w:abstractNumId w:val="2"/>
  </w:num>
  <w:num w:numId="8">
    <w:abstractNumId w:val="8"/>
  </w:num>
  <w:num w:numId="9">
    <w:abstractNumId w:val="7"/>
  </w:num>
  <w:num w:numId="10">
    <w:abstractNumId w:val="12"/>
  </w:num>
  <w:num w:numId="11">
    <w:abstractNumId w:val="13"/>
  </w:num>
  <w:num w:numId="12">
    <w:abstractNumId w:val="6"/>
  </w:num>
  <w:num w:numId="13">
    <w:abstractNumId w:val="14"/>
  </w:num>
  <w:num w:numId="14">
    <w:abstractNumId w:val="16"/>
  </w:num>
  <w:num w:numId="15">
    <w:abstractNumId w:val="11"/>
  </w:num>
  <w:num w:numId="16">
    <w:abstractNumId w:val="4"/>
  </w:num>
  <w:num w:numId="1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14B78"/>
    <w:rsid w:val="00016CB8"/>
    <w:rsid w:val="000256A6"/>
    <w:rsid w:val="00027246"/>
    <w:rsid w:val="000319AD"/>
    <w:rsid w:val="00033274"/>
    <w:rsid w:val="00044E9A"/>
    <w:rsid w:val="00044F30"/>
    <w:rsid w:val="000457B3"/>
    <w:rsid w:val="00046205"/>
    <w:rsid w:val="000516FF"/>
    <w:rsid w:val="0005195A"/>
    <w:rsid w:val="0005770D"/>
    <w:rsid w:val="00057F6E"/>
    <w:rsid w:val="0006014D"/>
    <w:rsid w:val="000627DE"/>
    <w:rsid w:val="000632A5"/>
    <w:rsid w:val="00064046"/>
    <w:rsid w:val="00073CB5"/>
    <w:rsid w:val="00073EA2"/>
    <w:rsid w:val="000740C5"/>
    <w:rsid w:val="00076B17"/>
    <w:rsid w:val="00077BB9"/>
    <w:rsid w:val="000801DF"/>
    <w:rsid w:val="0008152F"/>
    <w:rsid w:val="000830C8"/>
    <w:rsid w:val="000836BC"/>
    <w:rsid w:val="00083FA8"/>
    <w:rsid w:val="00085E99"/>
    <w:rsid w:val="00086183"/>
    <w:rsid w:val="00086664"/>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B4F2A"/>
    <w:rsid w:val="000C0537"/>
    <w:rsid w:val="000C1185"/>
    <w:rsid w:val="000C2BAC"/>
    <w:rsid w:val="000C3CBC"/>
    <w:rsid w:val="000C440B"/>
    <w:rsid w:val="000C4A1A"/>
    <w:rsid w:val="000C67C6"/>
    <w:rsid w:val="000C773F"/>
    <w:rsid w:val="000C77BA"/>
    <w:rsid w:val="000D0A4B"/>
    <w:rsid w:val="000D1AF1"/>
    <w:rsid w:val="000D2D73"/>
    <w:rsid w:val="000D2E87"/>
    <w:rsid w:val="000D60EA"/>
    <w:rsid w:val="000D6375"/>
    <w:rsid w:val="000E580C"/>
    <w:rsid w:val="000E5F55"/>
    <w:rsid w:val="000E63E8"/>
    <w:rsid w:val="000E7E8C"/>
    <w:rsid w:val="000F2367"/>
    <w:rsid w:val="000F2D7B"/>
    <w:rsid w:val="000F55FA"/>
    <w:rsid w:val="000F59C5"/>
    <w:rsid w:val="000F5ADB"/>
    <w:rsid w:val="000F6B7E"/>
    <w:rsid w:val="000F7444"/>
    <w:rsid w:val="00101503"/>
    <w:rsid w:val="00101DD4"/>
    <w:rsid w:val="00104A03"/>
    <w:rsid w:val="00104DAC"/>
    <w:rsid w:val="00105586"/>
    <w:rsid w:val="00106683"/>
    <w:rsid w:val="001069A0"/>
    <w:rsid w:val="00106FEA"/>
    <w:rsid w:val="0010720C"/>
    <w:rsid w:val="00110F69"/>
    <w:rsid w:val="00114C3E"/>
    <w:rsid w:val="00115766"/>
    <w:rsid w:val="001159A8"/>
    <w:rsid w:val="00120158"/>
    <w:rsid w:val="00120F7E"/>
    <w:rsid w:val="00120FF4"/>
    <w:rsid w:val="00121049"/>
    <w:rsid w:val="001224AF"/>
    <w:rsid w:val="00123945"/>
    <w:rsid w:val="00123A44"/>
    <w:rsid w:val="00125E1C"/>
    <w:rsid w:val="001265F9"/>
    <w:rsid w:val="00126C02"/>
    <w:rsid w:val="00131645"/>
    <w:rsid w:val="00131F0C"/>
    <w:rsid w:val="00133300"/>
    <w:rsid w:val="00135665"/>
    <w:rsid w:val="0014044D"/>
    <w:rsid w:val="001411BA"/>
    <w:rsid w:val="0014497C"/>
    <w:rsid w:val="001454F0"/>
    <w:rsid w:val="00145A35"/>
    <w:rsid w:val="00147B80"/>
    <w:rsid w:val="001518E4"/>
    <w:rsid w:val="00152495"/>
    <w:rsid w:val="001552BC"/>
    <w:rsid w:val="00155E22"/>
    <w:rsid w:val="0015717A"/>
    <w:rsid w:val="001612ED"/>
    <w:rsid w:val="00163597"/>
    <w:rsid w:val="00165494"/>
    <w:rsid w:val="001668E7"/>
    <w:rsid w:val="001701A3"/>
    <w:rsid w:val="00170779"/>
    <w:rsid w:val="00171A5C"/>
    <w:rsid w:val="00173E2E"/>
    <w:rsid w:val="001742C9"/>
    <w:rsid w:val="001752B6"/>
    <w:rsid w:val="0017562F"/>
    <w:rsid w:val="001756E4"/>
    <w:rsid w:val="00177F34"/>
    <w:rsid w:val="0018354F"/>
    <w:rsid w:val="00183625"/>
    <w:rsid w:val="001847E6"/>
    <w:rsid w:val="00186EF0"/>
    <w:rsid w:val="00191C5C"/>
    <w:rsid w:val="00191EAC"/>
    <w:rsid w:val="00191F70"/>
    <w:rsid w:val="001922AF"/>
    <w:rsid w:val="00194FAE"/>
    <w:rsid w:val="001A0376"/>
    <w:rsid w:val="001A3A6C"/>
    <w:rsid w:val="001A41F2"/>
    <w:rsid w:val="001B1180"/>
    <w:rsid w:val="001B4B47"/>
    <w:rsid w:val="001B5295"/>
    <w:rsid w:val="001C0958"/>
    <w:rsid w:val="001C09DA"/>
    <w:rsid w:val="001C3465"/>
    <w:rsid w:val="001C3AA2"/>
    <w:rsid w:val="001C71A4"/>
    <w:rsid w:val="001C71D0"/>
    <w:rsid w:val="001C751F"/>
    <w:rsid w:val="001C7FB2"/>
    <w:rsid w:val="001D02C4"/>
    <w:rsid w:val="001D2E1A"/>
    <w:rsid w:val="001D427D"/>
    <w:rsid w:val="001D6769"/>
    <w:rsid w:val="001D6C12"/>
    <w:rsid w:val="001D70C4"/>
    <w:rsid w:val="001D78DF"/>
    <w:rsid w:val="001E001F"/>
    <w:rsid w:val="001E2A20"/>
    <w:rsid w:val="001E4DA8"/>
    <w:rsid w:val="001E5829"/>
    <w:rsid w:val="001E75E2"/>
    <w:rsid w:val="001F0912"/>
    <w:rsid w:val="001F0BA1"/>
    <w:rsid w:val="001F1EDB"/>
    <w:rsid w:val="001F22F3"/>
    <w:rsid w:val="001F4BAA"/>
    <w:rsid w:val="001F675E"/>
    <w:rsid w:val="00200952"/>
    <w:rsid w:val="002018C2"/>
    <w:rsid w:val="00203B32"/>
    <w:rsid w:val="00207A1A"/>
    <w:rsid w:val="00211775"/>
    <w:rsid w:val="0021225B"/>
    <w:rsid w:val="00221D3C"/>
    <w:rsid w:val="002241C7"/>
    <w:rsid w:val="00227002"/>
    <w:rsid w:val="00232F8A"/>
    <w:rsid w:val="002335D3"/>
    <w:rsid w:val="0023565F"/>
    <w:rsid w:val="00237571"/>
    <w:rsid w:val="0023775B"/>
    <w:rsid w:val="002404B1"/>
    <w:rsid w:val="002415A1"/>
    <w:rsid w:val="00243897"/>
    <w:rsid w:val="00244EA8"/>
    <w:rsid w:val="00247615"/>
    <w:rsid w:val="00251ABB"/>
    <w:rsid w:val="00252999"/>
    <w:rsid w:val="002569EE"/>
    <w:rsid w:val="0026034B"/>
    <w:rsid w:val="00263C64"/>
    <w:rsid w:val="00264CFC"/>
    <w:rsid w:val="00281D31"/>
    <w:rsid w:val="00282C71"/>
    <w:rsid w:val="00285311"/>
    <w:rsid w:val="00286053"/>
    <w:rsid w:val="0029128D"/>
    <w:rsid w:val="00292502"/>
    <w:rsid w:val="002950EB"/>
    <w:rsid w:val="0029745C"/>
    <w:rsid w:val="002A3ABD"/>
    <w:rsid w:val="002A7B14"/>
    <w:rsid w:val="002B1A82"/>
    <w:rsid w:val="002B1F32"/>
    <w:rsid w:val="002B1FCB"/>
    <w:rsid w:val="002B22AB"/>
    <w:rsid w:val="002B62FB"/>
    <w:rsid w:val="002B795B"/>
    <w:rsid w:val="002C12DC"/>
    <w:rsid w:val="002C14AC"/>
    <w:rsid w:val="002C206A"/>
    <w:rsid w:val="002C6F46"/>
    <w:rsid w:val="002D3ACC"/>
    <w:rsid w:val="002D427B"/>
    <w:rsid w:val="002D4FCC"/>
    <w:rsid w:val="002D7359"/>
    <w:rsid w:val="002E0E42"/>
    <w:rsid w:val="002E266C"/>
    <w:rsid w:val="002E3546"/>
    <w:rsid w:val="002E4C28"/>
    <w:rsid w:val="002F0CC6"/>
    <w:rsid w:val="002F1D6C"/>
    <w:rsid w:val="002F6FD8"/>
    <w:rsid w:val="00300FEC"/>
    <w:rsid w:val="00302C60"/>
    <w:rsid w:val="00303EE3"/>
    <w:rsid w:val="00304329"/>
    <w:rsid w:val="003049E1"/>
    <w:rsid w:val="00305868"/>
    <w:rsid w:val="0030783B"/>
    <w:rsid w:val="003126A7"/>
    <w:rsid w:val="00316CCE"/>
    <w:rsid w:val="003176BB"/>
    <w:rsid w:val="0032344C"/>
    <w:rsid w:val="003247AB"/>
    <w:rsid w:val="0032571C"/>
    <w:rsid w:val="003306EC"/>
    <w:rsid w:val="003322E3"/>
    <w:rsid w:val="00336273"/>
    <w:rsid w:val="0033673C"/>
    <w:rsid w:val="003367C2"/>
    <w:rsid w:val="0033775C"/>
    <w:rsid w:val="00341C8D"/>
    <w:rsid w:val="00341DB8"/>
    <w:rsid w:val="003458D2"/>
    <w:rsid w:val="00346128"/>
    <w:rsid w:val="00346476"/>
    <w:rsid w:val="00350032"/>
    <w:rsid w:val="003510F2"/>
    <w:rsid w:val="003515F7"/>
    <w:rsid w:val="00356EF6"/>
    <w:rsid w:val="00361067"/>
    <w:rsid w:val="0036242F"/>
    <w:rsid w:val="00363556"/>
    <w:rsid w:val="003639B7"/>
    <w:rsid w:val="00364917"/>
    <w:rsid w:val="003655AC"/>
    <w:rsid w:val="00366037"/>
    <w:rsid w:val="00367D79"/>
    <w:rsid w:val="00367E55"/>
    <w:rsid w:val="0037153F"/>
    <w:rsid w:val="0037305C"/>
    <w:rsid w:val="0037598F"/>
    <w:rsid w:val="00375ED6"/>
    <w:rsid w:val="00377405"/>
    <w:rsid w:val="003778D7"/>
    <w:rsid w:val="00377EA1"/>
    <w:rsid w:val="00380B05"/>
    <w:rsid w:val="00382453"/>
    <w:rsid w:val="00382FF0"/>
    <w:rsid w:val="00384B81"/>
    <w:rsid w:val="0038550C"/>
    <w:rsid w:val="00386FE7"/>
    <w:rsid w:val="00387C33"/>
    <w:rsid w:val="0039167A"/>
    <w:rsid w:val="0039309F"/>
    <w:rsid w:val="003935C8"/>
    <w:rsid w:val="00396822"/>
    <w:rsid w:val="003A0C56"/>
    <w:rsid w:val="003A473A"/>
    <w:rsid w:val="003A4F31"/>
    <w:rsid w:val="003A5DD9"/>
    <w:rsid w:val="003A6E6E"/>
    <w:rsid w:val="003A7052"/>
    <w:rsid w:val="003B1922"/>
    <w:rsid w:val="003B4F5F"/>
    <w:rsid w:val="003B5B34"/>
    <w:rsid w:val="003B7172"/>
    <w:rsid w:val="003B7C77"/>
    <w:rsid w:val="003C125B"/>
    <w:rsid w:val="003C318E"/>
    <w:rsid w:val="003C6629"/>
    <w:rsid w:val="003D12A1"/>
    <w:rsid w:val="003D1853"/>
    <w:rsid w:val="003D7711"/>
    <w:rsid w:val="003D7F11"/>
    <w:rsid w:val="003E325F"/>
    <w:rsid w:val="003E40A1"/>
    <w:rsid w:val="003E6108"/>
    <w:rsid w:val="003E6D35"/>
    <w:rsid w:val="003F0523"/>
    <w:rsid w:val="003F0E68"/>
    <w:rsid w:val="003F15E1"/>
    <w:rsid w:val="003F398A"/>
    <w:rsid w:val="003F5440"/>
    <w:rsid w:val="004023CD"/>
    <w:rsid w:val="00404CA2"/>
    <w:rsid w:val="004102D5"/>
    <w:rsid w:val="0041121F"/>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6643"/>
    <w:rsid w:val="00436B7A"/>
    <w:rsid w:val="0043794B"/>
    <w:rsid w:val="00444A1E"/>
    <w:rsid w:val="00450C6B"/>
    <w:rsid w:val="00451903"/>
    <w:rsid w:val="00451E9B"/>
    <w:rsid w:val="00452D5D"/>
    <w:rsid w:val="0045307B"/>
    <w:rsid w:val="00453478"/>
    <w:rsid w:val="00455E71"/>
    <w:rsid w:val="004567A2"/>
    <w:rsid w:val="00460226"/>
    <w:rsid w:val="00461271"/>
    <w:rsid w:val="004622DE"/>
    <w:rsid w:val="00462B2F"/>
    <w:rsid w:val="00462C1F"/>
    <w:rsid w:val="004657E9"/>
    <w:rsid w:val="004679B2"/>
    <w:rsid w:val="004716E7"/>
    <w:rsid w:val="00472C10"/>
    <w:rsid w:val="00475175"/>
    <w:rsid w:val="00476695"/>
    <w:rsid w:val="00476FDF"/>
    <w:rsid w:val="00480C56"/>
    <w:rsid w:val="004817D0"/>
    <w:rsid w:val="0048248B"/>
    <w:rsid w:val="004824E4"/>
    <w:rsid w:val="004836CB"/>
    <w:rsid w:val="00487BAA"/>
    <w:rsid w:val="00487E0C"/>
    <w:rsid w:val="00490A33"/>
    <w:rsid w:val="00493348"/>
    <w:rsid w:val="004948DD"/>
    <w:rsid w:val="00495423"/>
    <w:rsid w:val="00495630"/>
    <w:rsid w:val="004972B4"/>
    <w:rsid w:val="00497994"/>
    <w:rsid w:val="004A03B0"/>
    <w:rsid w:val="004A1658"/>
    <w:rsid w:val="004A29A2"/>
    <w:rsid w:val="004A4515"/>
    <w:rsid w:val="004A7BD9"/>
    <w:rsid w:val="004A7DED"/>
    <w:rsid w:val="004A7F40"/>
    <w:rsid w:val="004B1FAE"/>
    <w:rsid w:val="004B48E5"/>
    <w:rsid w:val="004B656F"/>
    <w:rsid w:val="004B72B6"/>
    <w:rsid w:val="004C102F"/>
    <w:rsid w:val="004C27DB"/>
    <w:rsid w:val="004C4EF5"/>
    <w:rsid w:val="004C62C9"/>
    <w:rsid w:val="004C6D71"/>
    <w:rsid w:val="004D0A04"/>
    <w:rsid w:val="004D1965"/>
    <w:rsid w:val="004D34A7"/>
    <w:rsid w:val="004D52F3"/>
    <w:rsid w:val="004D698F"/>
    <w:rsid w:val="004D7A08"/>
    <w:rsid w:val="004E0013"/>
    <w:rsid w:val="004E03D7"/>
    <w:rsid w:val="004E1C86"/>
    <w:rsid w:val="004E26BD"/>
    <w:rsid w:val="004E29DE"/>
    <w:rsid w:val="004E418A"/>
    <w:rsid w:val="004E4CA2"/>
    <w:rsid w:val="004E7CC1"/>
    <w:rsid w:val="004F10E3"/>
    <w:rsid w:val="004F121A"/>
    <w:rsid w:val="004F2815"/>
    <w:rsid w:val="004F3B9F"/>
    <w:rsid w:val="004F48A0"/>
    <w:rsid w:val="004F79A3"/>
    <w:rsid w:val="0050158F"/>
    <w:rsid w:val="00502AC1"/>
    <w:rsid w:val="00503570"/>
    <w:rsid w:val="005071B9"/>
    <w:rsid w:val="005104B0"/>
    <w:rsid w:val="00510F67"/>
    <w:rsid w:val="00513E5B"/>
    <w:rsid w:val="00520E83"/>
    <w:rsid w:val="0052200C"/>
    <w:rsid w:val="005222C2"/>
    <w:rsid w:val="00523A2F"/>
    <w:rsid w:val="00526125"/>
    <w:rsid w:val="00527D09"/>
    <w:rsid w:val="005357DC"/>
    <w:rsid w:val="0053640E"/>
    <w:rsid w:val="00536C2D"/>
    <w:rsid w:val="00536EDF"/>
    <w:rsid w:val="00542804"/>
    <w:rsid w:val="00545396"/>
    <w:rsid w:val="00550EE8"/>
    <w:rsid w:val="0055104C"/>
    <w:rsid w:val="005514A7"/>
    <w:rsid w:val="005528B9"/>
    <w:rsid w:val="005553EC"/>
    <w:rsid w:val="005564CF"/>
    <w:rsid w:val="00556BEA"/>
    <w:rsid w:val="0056269B"/>
    <w:rsid w:val="005647F1"/>
    <w:rsid w:val="00565424"/>
    <w:rsid w:val="0057091C"/>
    <w:rsid w:val="00571A79"/>
    <w:rsid w:val="00571FE5"/>
    <w:rsid w:val="00574655"/>
    <w:rsid w:val="00585FF4"/>
    <w:rsid w:val="005A0C06"/>
    <w:rsid w:val="005A0F3B"/>
    <w:rsid w:val="005A15A0"/>
    <w:rsid w:val="005A2DEA"/>
    <w:rsid w:val="005A5726"/>
    <w:rsid w:val="005A58F3"/>
    <w:rsid w:val="005A61B6"/>
    <w:rsid w:val="005A7FCC"/>
    <w:rsid w:val="005B0469"/>
    <w:rsid w:val="005B0F7A"/>
    <w:rsid w:val="005C0986"/>
    <w:rsid w:val="005C1AD1"/>
    <w:rsid w:val="005C65DF"/>
    <w:rsid w:val="005C7080"/>
    <w:rsid w:val="005D220A"/>
    <w:rsid w:val="005D4D8D"/>
    <w:rsid w:val="005D5FE5"/>
    <w:rsid w:val="005D6BCD"/>
    <w:rsid w:val="005D751E"/>
    <w:rsid w:val="005E094D"/>
    <w:rsid w:val="005E34DE"/>
    <w:rsid w:val="005E3F0C"/>
    <w:rsid w:val="005E5161"/>
    <w:rsid w:val="005E54FC"/>
    <w:rsid w:val="005E5953"/>
    <w:rsid w:val="005E59A8"/>
    <w:rsid w:val="005E7B61"/>
    <w:rsid w:val="005F03ED"/>
    <w:rsid w:val="005F3821"/>
    <w:rsid w:val="005F3A63"/>
    <w:rsid w:val="005F425A"/>
    <w:rsid w:val="005F7CF2"/>
    <w:rsid w:val="00600A13"/>
    <w:rsid w:val="00600F1C"/>
    <w:rsid w:val="00604248"/>
    <w:rsid w:val="00621C7B"/>
    <w:rsid w:val="00622803"/>
    <w:rsid w:val="00624BF0"/>
    <w:rsid w:val="00626CAE"/>
    <w:rsid w:val="00630C8F"/>
    <w:rsid w:val="00630DB7"/>
    <w:rsid w:val="00631469"/>
    <w:rsid w:val="00631C9B"/>
    <w:rsid w:val="00637B7C"/>
    <w:rsid w:val="0064169B"/>
    <w:rsid w:val="00641E1B"/>
    <w:rsid w:val="00644DA9"/>
    <w:rsid w:val="00645964"/>
    <w:rsid w:val="00645DB8"/>
    <w:rsid w:val="00650497"/>
    <w:rsid w:val="00651065"/>
    <w:rsid w:val="00653631"/>
    <w:rsid w:val="00656D19"/>
    <w:rsid w:val="00657B62"/>
    <w:rsid w:val="006668EF"/>
    <w:rsid w:val="006705A7"/>
    <w:rsid w:val="00672F96"/>
    <w:rsid w:val="0068333B"/>
    <w:rsid w:val="00690D1E"/>
    <w:rsid w:val="00691EF3"/>
    <w:rsid w:val="006921A7"/>
    <w:rsid w:val="00692564"/>
    <w:rsid w:val="006935A1"/>
    <w:rsid w:val="006A08C4"/>
    <w:rsid w:val="006A4E6B"/>
    <w:rsid w:val="006A6DF2"/>
    <w:rsid w:val="006B289D"/>
    <w:rsid w:val="006B7418"/>
    <w:rsid w:val="006C1DA1"/>
    <w:rsid w:val="006C415F"/>
    <w:rsid w:val="006C4EAE"/>
    <w:rsid w:val="006C5F2A"/>
    <w:rsid w:val="006C7133"/>
    <w:rsid w:val="006D02AC"/>
    <w:rsid w:val="006D0622"/>
    <w:rsid w:val="006D3679"/>
    <w:rsid w:val="006D4E08"/>
    <w:rsid w:val="006E3BA8"/>
    <w:rsid w:val="006E5370"/>
    <w:rsid w:val="006E548B"/>
    <w:rsid w:val="006E5755"/>
    <w:rsid w:val="006E7B46"/>
    <w:rsid w:val="006F001F"/>
    <w:rsid w:val="006F4223"/>
    <w:rsid w:val="006F4850"/>
    <w:rsid w:val="006F5112"/>
    <w:rsid w:val="006F54FE"/>
    <w:rsid w:val="006F5B94"/>
    <w:rsid w:val="006F6796"/>
    <w:rsid w:val="006F6FE5"/>
    <w:rsid w:val="006F7C82"/>
    <w:rsid w:val="00702E38"/>
    <w:rsid w:val="007035E3"/>
    <w:rsid w:val="00706836"/>
    <w:rsid w:val="007103CC"/>
    <w:rsid w:val="00710769"/>
    <w:rsid w:val="00712F22"/>
    <w:rsid w:val="00714EA7"/>
    <w:rsid w:val="007170D9"/>
    <w:rsid w:val="00717B2A"/>
    <w:rsid w:val="00721244"/>
    <w:rsid w:val="00721F03"/>
    <w:rsid w:val="00722463"/>
    <w:rsid w:val="00724017"/>
    <w:rsid w:val="00724B5B"/>
    <w:rsid w:val="00725F33"/>
    <w:rsid w:val="0073172D"/>
    <w:rsid w:val="00731B6D"/>
    <w:rsid w:val="00732AC7"/>
    <w:rsid w:val="0073316B"/>
    <w:rsid w:val="0073661B"/>
    <w:rsid w:val="007372AD"/>
    <w:rsid w:val="007402A7"/>
    <w:rsid w:val="007410A4"/>
    <w:rsid w:val="00741706"/>
    <w:rsid w:val="007418F2"/>
    <w:rsid w:val="00742A49"/>
    <w:rsid w:val="007454D4"/>
    <w:rsid w:val="00745EFD"/>
    <w:rsid w:val="00746645"/>
    <w:rsid w:val="00746A48"/>
    <w:rsid w:val="00747A02"/>
    <w:rsid w:val="00750272"/>
    <w:rsid w:val="007503E1"/>
    <w:rsid w:val="00750ADC"/>
    <w:rsid w:val="00750CC6"/>
    <w:rsid w:val="00752C24"/>
    <w:rsid w:val="00753594"/>
    <w:rsid w:val="007535EA"/>
    <w:rsid w:val="007544D3"/>
    <w:rsid w:val="00757519"/>
    <w:rsid w:val="00757BE3"/>
    <w:rsid w:val="007602B3"/>
    <w:rsid w:val="00765475"/>
    <w:rsid w:val="00766C5B"/>
    <w:rsid w:val="00767E02"/>
    <w:rsid w:val="007748E5"/>
    <w:rsid w:val="00775DF2"/>
    <w:rsid w:val="00777B0C"/>
    <w:rsid w:val="007835E5"/>
    <w:rsid w:val="00784411"/>
    <w:rsid w:val="00790499"/>
    <w:rsid w:val="00790E1E"/>
    <w:rsid w:val="007920F9"/>
    <w:rsid w:val="0079317E"/>
    <w:rsid w:val="00793C53"/>
    <w:rsid w:val="007942A2"/>
    <w:rsid w:val="00795914"/>
    <w:rsid w:val="007A0E08"/>
    <w:rsid w:val="007A1A28"/>
    <w:rsid w:val="007A30F7"/>
    <w:rsid w:val="007B3CB6"/>
    <w:rsid w:val="007B3CBC"/>
    <w:rsid w:val="007B4177"/>
    <w:rsid w:val="007B5B13"/>
    <w:rsid w:val="007C1A30"/>
    <w:rsid w:val="007C6FCA"/>
    <w:rsid w:val="007C79EB"/>
    <w:rsid w:val="007D0A5E"/>
    <w:rsid w:val="007D23A5"/>
    <w:rsid w:val="007D26DD"/>
    <w:rsid w:val="007D71C7"/>
    <w:rsid w:val="007D7FD4"/>
    <w:rsid w:val="007E0726"/>
    <w:rsid w:val="007E3A87"/>
    <w:rsid w:val="007E3C72"/>
    <w:rsid w:val="007E4087"/>
    <w:rsid w:val="007F11C3"/>
    <w:rsid w:val="007F140C"/>
    <w:rsid w:val="007F1728"/>
    <w:rsid w:val="007F34CA"/>
    <w:rsid w:val="007F561C"/>
    <w:rsid w:val="007F6F12"/>
    <w:rsid w:val="007F76F3"/>
    <w:rsid w:val="007F78FB"/>
    <w:rsid w:val="008007EC"/>
    <w:rsid w:val="0080379E"/>
    <w:rsid w:val="00803AA7"/>
    <w:rsid w:val="00803FE4"/>
    <w:rsid w:val="00804C11"/>
    <w:rsid w:val="00804E5B"/>
    <w:rsid w:val="00806963"/>
    <w:rsid w:val="0080722E"/>
    <w:rsid w:val="00813B82"/>
    <w:rsid w:val="0081424A"/>
    <w:rsid w:val="008147EE"/>
    <w:rsid w:val="00816CD2"/>
    <w:rsid w:val="0081723A"/>
    <w:rsid w:val="00817244"/>
    <w:rsid w:val="00827D7D"/>
    <w:rsid w:val="008322A4"/>
    <w:rsid w:val="00833CB6"/>
    <w:rsid w:val="00835AA0"/>
    <w:rsid w:val="0084059E"/>
    <w:rsid w:val="00841651"/>
    <w:rsid w:val="00843760"/>
    <w:rsid w:val="0084543A"/>
    <w:rsid w:val="008461A9"/>
    <w:rsid w:val="00853C12"/>
    <w:rsid w:val="00854E56"/>
    <w:rsid w:val="008553E7"/>
    <w:rsid w:val="00856D32"/>
    <w:rsid w:val="008577A1"/>
    <w:rsid w:val="008614F4"/>
    <w:rsid w:val="00861BCE"/>
    <w:rsid w:val="00862754"/>
    <w:rsid w:val="00863F48"/>
    <w:rsid w:val="00864A49"/>
    <w:rsid w:val="008652BE"/>
    <w:rsid w:val="00865EFD"/>
    <w:rsid w:val="0086635A"/>
    <w:rsid w:val="00866EAF"/>
    <w:rsid w:val="008710E9"/>
    <w:rsid w:val="008768B5"/>
    <w:rsid w:val="00880786"/>
    <w:rsid w:val="00881889"/>
    <w:rsid w:val="00882886"/>
    <w:rsid w:val="008919AF"/>
    <w:rsid w:val="008923B3"/>
    <w:rsid w:val="00895704"/>
    <w:rsid w:val="00896171"/>
    <w:rsid w:val="008967E5"/>
    <w:rsid w:val="008A3C38"/>
    <w:rsid w:val="008A5E79"/>
    <w:rsid w:val="008A62E8"/>
    <w:rsid w:val="008A67C1"/>
    <w:rsid w:val="008B2684"/>
    <w:rsid w:val="008B29A2"/>
    <w:rsid w:val="008B480E"/>
    <w:rsid w:val="008B567D"/>
    <w:rsid w:val="008B688E"/>
    <w:rsid w:val="008B7278"/>
    <w:rsid w:val="008C2A9F"/>
    <w:rsid w:val="008C345B"/>
    <w:rsid w:val="008C346B"/>
    <w:rsid w:val="008C5D57"/>
    <w:rsid w:val="008C6D52"/>
    <w:rsid w:val="008C73C9"/>
    <w:rsid w:val="008D1580"/>
    <w:rsid w:val="008D1C59"/>
    <w:rsid w:val="008D2508"/>
    <w:rsid w:val="008D29F7"/>
    <w:rsid w:val="008D615D"/>
    <w:rsid w:val="008D6668"/>
    <w:rsid w:val="008E3EAA"/>
    <w:rsid w:val="008E4381"/>
    <w:rsid w:val="008F0D78"/>
    <w:rsid w:val="008F2E90"/>
    <w:rsid w:val="008F3804"/>
    <w:rsid w:val="008F56AD"/>
    <w:rsid w:val="008F62B6"/>
    <w:rsid w:val="008F79FC"/>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A62"/>
    <w:rsid w:val="00932040"/>
    <w:rsid w:val="00934C51"/>
    <w:rsid w:val="0094509A"/>
    <w:rsid w:val="00945BE5"/>
    <w:rsid w:val="00955E1A"/>
    <w:rsid w:val="00957F18"/>
    <w:rsid w:val="00962539"/>
    <w:rsid w:val="00963E0B"/>
    <w:rsid w:val="00967A8C"/>
    <w:rsid w:val="00974ACB"/>
    <w:rsid w:val="0097523D"/>
    <w:rsid w:val="00975D77"/>
    <w:rsid w:val="009761C1"/>
    <w:rsid w:val="009867FE"/>
    <w:rsid w:val="00987255"/>
    <w:rsid w:val="009900D0"/>
    <w:rsid w:val="009937DA"/>
    <w:rsid w:val="009950B9"/>
    <w:rsid w:val="00996DE8"/>
    <w:rsid w:val="00997030"/>
    <w:rsid w:val="009A002F"/>
    <w:rsid w:val="009A08AF"/>
    <w:rsid w:val="009A0AAC"/>
    <w:rsid w:val="009A3E8D"/>
    <w:rsid w:val="009A5898"/>
    <w:rsid w:val="009A7704"/>
    <w:rsid w:val="009B3071"/>
    <w:rsid w:val="009C0269"/>
    <w:rsid w:val="009C3284"/>
    <w:rsid w:val="009C3447"/>
    <w:rsid w:val="009C4391"/>
    <w:rsid w:val="009D030B"/>
    <w:rsid w:val="009D0990"/>
    <w:rsid w:val="009D2E80"/>
    <w:rsid w:val="009E1A5F"/>
    <w:rsid w:val="009E20E7"/>
    <w:rsid w:val="009E279F"/>
    <w:rsid w:val="009E31D5"/>
    <w:rsid w:val="009E4528"/>
    <w:rsid w:val="009E671B"/>
    <w:rsid w:val="009E7D08"/>
    <w:rsid w:val="009F00CF"/>
    <w:rsid w:val="009F02C2"/>
    <w:rsid w:val="009F0CE1"/>
    <w:rsid w:val="009F195D"/>
    <w:rsid w:val="009F3439"/>
    <w:rsid w:val="009F3925"/>
    <w:rsid w:val="009F7EEF"/>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403AC"/>
    <w:rsid w:val="00A40B9F"/>
    <w:rsid w:val="00A43CD0"/>
    <w:rsid w:val="00A4463D"/>
    <w:rsid w:val="00A44CCF"/>
    <w:rsid w:val="00A458E9"/>
    <w:rsid w:val="00A46F60"/>
    <w:rsid w:val="00A50DCA"/>
    <w:rsid w:val="00A51339"/>
    <w:rsid w:val="00A51E87"/>
    <w:rsid w:val="00A5646D"/>
    <w:rsid w:val="00A64909"/>
    <w:rsid w:val="00A64ED7"/>
    <w:rsid w:val="00A678FB"/>
    <w:rsid w:val="00A67D61"/>
    <w:rsid w:val="00A705D5"/>
    <w:rsid w:val="00A720C0"/>
    <w:rsid w:val="00A75077"/>
    <w:rsid w:val="00A75D92"/>
    <w:rsid w:val="00A81D6F"/>
    <w:rsid w:val="00A829DE"/>
    <w:rsid w:val="00A84807"/>
    <w:rsid w:val="00A85162"/>
    <w:rsid w:val="00A915ED"/>
    <w:rsid w:val="00A94383"/>
    <w:rsid w:val="00AA287D"/>
    <w:rsid w:val="00AA37D1"/>
    <w:rsid w:val="00AA3ABB"/>
    <w:rsid w:val="00AA3E57"/>
    <w:rsid w:val="00AA59FA"/>
    <w:rsid w:val="00AA64A3"/>
    <w:rsid w:val="00AA7600"/>
    <w:rsid w:val="00AA7B0A"/>
    <w:rsid w:val="00AB0A25"/>
    <w:rsid w:val="00AB0E8B"/>
    <w:rsid w:val="00AB2ED6"/>
    <w:rsid w:val="00AB5FF2"/>
    <w:rsid w:val="00AB6864"/>
    <w:rsid w:val="00AB7A9C"/>
    <w:rsid w:val="00AC0EC2"/>
    <w:rsid w:val="00AC32E7"/>
    <w:rsid w:val="00AC36CD"/>
    <w:rsid w:val="00AC40F0"/>
    <w:rsid w:val="00AC450A"/>
    <w:rsid w:val="00AC4EBD"/>
    <w:rsid w:val="00AC7117"/>
    <w:rsid w:val="00AD27C3"/>
    <w:rsid w:val="00AD3D0C"/>
    <w:rsid w:val="00AD542A"/>
    <w:rsid w:val="00AD7A2C"/>
    <w:rsid w:val="00AE0108"/>
    <w:rsid w:val="00AE08AE"/>
    <w:rsid w:val="00AE3106"/>
    <w:rsid w:val="00AE4418"/>
    <w:rsid w:val="00AE4638"/>
    <w:rsid w:val="00AE7CC2"/>
    <w:rsid w:val="00AF0AA2"/>
    <w:rsid w:val="00AF1A16"/>
    <w:rsid w:val="00AF2D5E"/>
    <w:rsid w:val="00AF37D7"/>
    <w:rsid w:val="00AF606B"/>
    <w:rsid w:val="00B016F2"/>
    <w:rsid w:val="00B01C79"/>
    <w:rsid w:val="00B03325"/>
    <w:rsid w:val="00B0408C"/>
    <w:rsid w:val="00B05E0B"/>
    <w:rsid w:val="00B06345"/>
    <w:rsid w:val="00B073D2"/>
    <w:rsid w:val="00B074C8"/>
    <w:rsid w:val="00B11C43"/>
    <w:rsid w:val="00B12284"/>
    <w:rsid w:val="00B21F15"/>
    <w:rsid w:val="00B2289E"/>
    <w:rsid w:val="00B22F8B"/>
    <w:rsid w:val="00B2557C"/>
    <w:rsid w:val="00B26F80"/>
    <w:rsid w:val="00B27FDC"/>
    <w:rsid w:val="00B3144D"/>
    <w:rsid w:val="00B32A56"/>
    <w:rsid w:val="00B35E7B"/>
    <w:rsid w:val="00B36110"/>
    <w:rsid w:val="00B36993"/>
    <w:rsid w:val="00B40819"/>
    <w:rsid w:val="00B40A73"/>
    <w:rsid w:val="00B415D5"/>
    <w:rsid w:val="00B41E7C"/>
    <w:rsid w:val="00B42523"/>
    <w:rsid w:val="00B45DAD"/>
    <w:rsid w:val="00B50ACF"/>
    <w:rsid w:val="00B50E66"/>
    <w:rsid w:val="00B53EF9"/>
    <w:rsid w:val="00B56C63"/>
    <w:rsid w:val="00B6181C"/>
    <w:rsid w:val="00B637B6"/>
    <w:rsid w:val="00B64C35"/>
    <w:rsid w:val="00B65109"/>
    <w:rsid w:val="00B65193"/>
    <w:rsid w:val="00B66228"/>
    <w:rsid w:val="00B66D82"/>
    <w:rsid w:val="00B70F30"/>
    <w:rsid w:val="00B72B2B"/>
    <w:rsid w:val="00B736B6"/>
    <w:rsid w:val="00B746B6"/>
    <w:rsid w:val="00B77857"/>
    <w:rsid w:val="00B8396C"/>
    <w:rsid w:val="00B915A2"/>
    <w:rsid w:val="00B9537F"/>
    <w:rsid w:val="00BA41BF"/>
    <w:rsid w:val="00BA6685"/>
    <w:rsid w:val="00BB0BF1"/>
    <w:rsid w:val="00BB10B8"/>
    <w:rsid w:val="00BB76A5"/>
    <w:rsid w:val="00BC0248"/>
    <w:rsid w:val="00BC1BBA"/>
    <w:rsid w:val="00BC35EC"/>
    <w:rsid w:val="00BC39C1"/>
    <w:rsid w:val="00BC479A"/>
    <w:rsid w:val="00BC6A89"/>
    <w:rsid w:val="00BC78F3"/>
    <w:rsid w:val="00BC797E"/>
    <w:rsid w:val="00BD0C8D"/>
    <w:rsid w:val="00BD135C"/>
    <w:rsid w:val="00BD6816"/>
    <w:rsid w:val="00BE04CF"/>
    <w:rsid w:val="00BE2A48"/>
    <w:rsid w:val="00BE4CF3"/>
    <w:rsid w:val="00BE75C3"/>
    <w:rsid w:val="00BF1777"/>
    <w:rsid w:val="00BF47AE"/>
    <w:rsid w:val="00BF490C"/>
    <w:rsid w:val="00BF5E22"/>
    <w:rsid w:val="00BF5F6F"/>
    <w:rsid w:val="00C008A9"/>
    <w:rsid w:val="00C00BAF"/>
    <w:rsid w:val="00C01667"/>
    <w:rsid w:val="00C02961"/>
    <w:rsid w:val="00C036B6"/>
    <w:rsid w:val="00C051D7"/>
    <w:rsid w:val="00C0586A"/>
    <w:rsid w:val="00C11B66"/>
    <w:rsid w:val="00C138DD"/>
    <w:rsid w:val="00C166BF"/>
    <w:rsid w:val="00C16C04"/>
    <w:rsid w:val="00C171A0"/>
    <w:rsid w:val="00C302C8"/>
    <w:rsid w:val="00C3094A"/>
    <w:rsid w:val="00C31E1C"/>
    <w:rsid w:val="00C33286"/>
    <w:rsid w:val="00C333B0"/>
    <w:rsid w:val="00C35849"/>
    <w:rsid w:val="00C37BBE"/>
    <w:rsid w:val="00C41D5C"/>
    <w:rsid w:val="00C42835"/>
    <w:rsid w:val="00C43212"/>
    <w:rsid w:val="00C46D38"/>
    <w:rsid w:val="00C4701D"/>
    <w:rsid w:val="00C51BFF"/>
    <w:rsid w:val="00C531A4"/>
    <w:rsid w:val="00C53C40"/>
    <w:rsid w:val="00C54578"/>
    <w:rsid w:val="00C54CE0"/>
    <w:rsid w:val="00C55EF7"/>
    <w:rsid w:val="00C61860"/>
    <w:rsid w:val="00C62886"/>
    <w:rsid w:val="00C62906"/>
    <w:rsid w:val="00C6616E"/>
    <w:rsid w:val="00C67778"/>
    <w:rsid w:val="00C72522"/>
    <w:rsid w:val="00C73DA5"/>
    <w:rsid w:val="00C74307"/>
    <w:rsid w:val="00C74530"/>
    <w:rsid w:val="00C74E4C"/>
    <w:rsid w:val="00C756F9"/>
    <w:rsid w:val="00C7718A"/>
    <w:rsid w:val="00C77721"/>
    <w:rsid w:val="00C8113F"/>
    <w:rsid w:val="00C8137C"/>
    <w:rsid w:val="00C834CB"/>
    <w:rsid w:val="00C83DF1"/>
    <w:rsid w:val="00C84648"/>
    <w:rsid w:val="00C851EA"/>
    <w:rsid w:val="00C85894"/>
    <w:rsid w:val="00C919F9"/>
    <w:rsid w:val="00C95C63"/>
    <w:rsid w:val="00C961C9"/>
    <w:rsid w:val="00C97B21"/>
    <w:rsid w:val="00CA4AAD"/>
    <w:rsid w:val="00CB07B1"/>
    <w:rsid w:val="00CB1D17"/>
    <w:rsid w:val="00CB2834"/>
    <w:rsid w:val="00CB3F37"/>
    <w:rsid w:val="00CB4429"/>
    <w:rsid w:val="00CB472A"/>
    <w:rsid w:val="00CB7E91"/>
    <w:rsid w:val="00CC05F8"/>
    <w:rsid w:val="00CC093A"/>
    <w:rsid w:val="00CC3E8B"/>
    <w:rsid w:val="00CC41FE"/>
    <w:rsid w:val="00CC5AF5"/>
    <w:rsid w:val="00CC6B8B"/>
    <w:rsid w:val="00CC7364"/>
    <w:rsid w:val="00CC7C08"/>
    <w:rsid w:val="00CD0FDD"/>
    <w:rsid w:val="00CD1108"/>
    <w:rsid w:val="00CD2201"/>
    <w:rsid w:val="00CD3E9B"/>
    <w:rsid w:val="00CD4FF6"/>
    <w:rsid w:val="00CE0EBE"/>
    <w:rsid w:val="00CE1855"/>
    <w:rsid w:val="00CE18A6"/>
    <w:rsid w:val="00CE2508"/>
    <w:rsid w:val="00CE48ED"/>
    <w:rsid w:val="00CE55AD"/>
    <w:rsid w:val="00CE5BEF"/>
    <w:rsid w:val="00CE7F8B"/>
    <w:rsid w:val="00CF0783"/>
    <w:rsid w:val="00CF1154"/>
    <w:rsid w:val="00CF1EA8"/>
    <w:rsid w:val="00CF375C"/>
    <w:rsid w:val="00CF5D5A"/>
    <w:rsid w:val="00CF7813"/>
    <w:rsid w:val="00CF7CCC"/>
    <w:rsid w:val="00CF7E17"/>
    <w:rsid w:val="00D0008D"/>
    <w:rsid w:val="00D00575"/>
    <w:rsid w:val="00D025BD"/>
    <w:rsid w:val="00D04003"/>
    <w:rsid w:val="00D0648A"/>
    <w:rsid w:val="00D147A4"/>
    <w:rsid w:val="00D1512E"/>
    <w:rsid w:val="00D17346"/>
    <w:rsid w:val="00D1761E"/>
    <w:rsid w:val="00D201F8"/>
    <w:rsid w:val="00D275C0"/>
    <w:rsid w:val="00D344CF"/>
    <w:rsid w:val="00D34714"/>
    <w:rsid w:val="00D37159"/>
    <w:rsid w:val="00D37237"/>
    <w:rsid w:val="00D451A1"/>
    <w:rsid w:val="00D53828"/>
    <w:rsid w:val="00D551A6"/>
    <w:rsid w:val="00D619F6"/>
    <w:rsid w:val="00D61A55"/>
    <w:rsid w:val="00D623F3"/>
    <w:rsid w:val="00D66D8D"/>
    <w:rsid w:val="00D72E42"/>
    <w:rsid w:val="00D74953"/>
    <w:rsid w:val="00D7589C"/>
    <w:rsid w:val="00D76D0B"/>
    <w:rsid w:val="00D82A2E"/>
    <w:rsid w:val="00D833AF"/>
    <w:rsid w:val="00D83781"/>
    <w:rsid w:val="00D84BD8"/>
    <w:rsid w:val="00D91CB4"/>
    <w:rsid w:val="00D93FEB"/>
    <w:rsid w:val="00D9493A"/>
    <w:rsid w:val="00D95764"/>
    <w:rsid w:val="00D95D71"/>
    <w:rsid w:val="00D97CFC"/>
    <w:rsid w:val="00DA057E"/>
    <w:rsid w:val="00DA2AFC"/>
    <w:rsid w:val="00DA6699"/>
    <w:rsid w:val="00DA6C9B"/>
    <w:rsid w:val="00DB3BBA"/>
    <w:rsid w:val="00DB4222"/>
    <w:rsid w:val="00DB4CC5"/>
    <w:rsid w:val="00DB7570"/>
    <w:rsid w:val="00DC15F1"/>
    <w:rsid w:val="00DC1C66"/>
    <w:rsid w:val="00DC26CB"/>
    <w:rsid w:val="00DC33EC"/>
    <w:rsid w:val="00DC40DF"/>
    <w:rsid w:val="00DC4832"/>
    <w:rsid w:val="00DC5838"/>
    <w:rsid w:val="00DC6104"/>
    <w:rsid w:val="00DC788B"/>
    <w:rsid w:val="00DD0ADE"/>
    <w:rsid w:val="00DD3343"/>
    <w:rsid w:val="00DD40D0"/>
    <w:rsid w:val="00DD4550"/>
    <w:rsid w:val="00DD50D5"/>
    <w:rsid w:val="00DD591F"/>
    <w:rsid w:val="00DD5EFD"/>
    <w:rsid w:val="00DD60B8"/>
    <w:rsid w:val="00DE2BFD"/>
    <w:rsid w:val="00DE3EAA"/>
    <w:rsid w:val="00DE422E"/>
    <w:rsid w:val="00DF064D"/>
    <w:rsid w:val="00DF1705"/>
    <w:rsid w:val="00DF3159"/>
    <w:rsid w:val="00DF42BE"/>
    <w:rsid w:val="00DF533B"/>
    <w:rsid w:val="00E0298F"/>
    <w:rsid w:val="00E0342B"/>
    <w:rsid w:val="00E036A0"/>
    <w:rsid w:val="00E04B4D"/>
    <w:rsid w:val="00E10F88"/>
    <w:rsid w:val="00E111CB"/>
    <w:rsid w:val="00E125D1"/>
    <w:rsid w:val="00E13C00"/>
    <w:rsid w:val="00E15A09"/>
    <w:rsid w:val="00E21FFD"/>
    <w:rsid w:val="00E23449"/>
    <w:rsid w:val="00E30EAF"/>
    <w:rsid w:val="00E34617"/>
    <w:rsid w:val="00E36BA5"/>
    <w:rsid w:val="00E40545"/>
    <w:rsid w:val="00E407C1"/>
    <w:rsid w:val="00E40E22"/>
    <w:rsid w:val="00E41926"/>
    <w:rsid w:val="00E42363"/>
    <w:rsid w:val="00E4252B"/>
    <w:rsid w:val="00E45BEC"/>
    <w:rsid w:val="00E47EFB"/>
    <w:rsid w:val="00E5055D"/>
    <w:rsid w:val="00E518D5"/>
    <w:rsid w:val="00E52354"/>
    <w:rsid w:val="00E54054"/>
    <w:rsid w:val="00E54579"/>
    <w:rsid w:val="00E54EB3"/>
    <w:rsid w:val="00E555BD"/>
    <w:rsid w:val="00E57953"/>
    <w:rsid w:val="00E60F25"/>
    <w:rsid w:val="00E64D28"/>
    <w:rsid w:val="00E652DF"/>
    <w:rsid w:val="00E74B10"/>
    <w:rsid w:val="00E76E09"/>
    <w:rsid w:val="00E77ED5"/>
    <w:rsid w:val="00E8592F"/>
    <w:rsid w:val="00E87BFA"/>
    <w:rsid w:val="00E908FD"/>
    <w:rsid w:val="00E91244"/>
    <w:rsid w:val="00E91C90"/>
    <w:rsid w:val="00E930BB"/>
    <w:rsid w:val="00E9460F"/>
    <w:rsid w:val="00E97A91"/>
    <w:rsid w:val="00EA118A"/>
    <w:rsid w:val="00EA5399"/>
    <w:rsid w:val="00EA77B9"/>
    <w:rsid w:val="00EB0506"/>
    <w:rsid w:val="00EB23D1"/>
    <w:rsid w:val="00EB2784"/>
    <w:rsid w:val="00EB2ED2"/>
    <w:rsid w:val="00EB344F"/>
    <w:rsid w:val="00EB46B9"/>
    <w:rsid w:val="00EB4962"/>
    <w:rsid w:val="00EB4EEE"/>
    <w:rsid w:val="00EB6A03"/>
    <w:rsid w:val="00EB6A9D"/>
    <w:rsid w:val="00ED0B63"/>
    <w:rsid w:val="00ED3F98"/>
    <w:rsid w:val="00ED3FA8"/>
    <w:rsid w:val="00ED4AEF"/>
    <w:rsid w:val="00ED581C"/>
    <w:rsid w:val="00ED6A0D"/>
    <w:rsid w:val="00EE1C7F"/>
    <w:rsid w:val="00EE3077"/>
    <w:rsid w:val="00EE4B6B"/>
    <w:rsid w:val="00EE4BC6"/>
    <w:rsid w:val="00EE659F"/>
    <w:rsid w:val="00EE6688"/>
    <w:rsid w:val="00EF2541"/>
    <w:rsid w:val="00EF37A2"/>
    <w:rsid w:val="00EF6E12"/>
    <w:rsid w:val="00EF736B"/>
    <w:rsid w:val="00EF74F6"/>
    <w:rsid w:val="00F00A54"/>
    <w:rsid w:val="00F02444"/>
    <w:rsid w:val="00F02804"/>
    <w:rsid w:val="00F02B5A"/>
    <w:rsid w:val="00F06927"/>
    <w:rsid w:val="00F10FCA"/>
    <w:rsid w:val="00F11557"/>
    <w:rsid w:val="00F135EB"/>
    <w:rsid w:val="00F14CED"/>
    <w:rsid w:val="00F14D98"/>
    <w:rsid w:val="00F207BE"/>
    <w:rsid w:val="00F26EE6"/>
    <w:rsid w:val="00F274B6"/>
    <w:rsid w:val="00F27A5E"/>
    <w:rsid w:val="00F30765"/>
    <w:rsid w:val="00F347A9"/>
    <w:rsid w:val="00F37A0D"/>
    <w:rsid w:val="00F43D5B"/>
    <w:rsid w:val="00F44924"/>
    <w:rsid w:val="00F50240"/>
    <w:rsid w:val="00F52178"/>
    <w:rsid w:val="00F52D8B"/>
    <w:rsid w:val="00F54615"/>
    <w:rsid w:val="00F56F00"/>
    <w:rsid w:val="00F57135"/>
    <w:rsid w:val="00F60098"/>
    <w:rsid w:val="00F62738"/>
    <w:rsid w:val="00F63E12"/>
    <w:rsid w:val="00F64A75"/>
    <w:rsid w:val="00F650CE"/>
    <w:rsid w:val="00F7121E"/>
    <w:rsid w:val="00F729E4"/>
    <w:rsid w:val="00F751FC"/>
    <w:rsid w:val="00F812A7"/>
    <w:rsid w:val="00F817F0"/>
    <w:rsid w:val="00F81AA5"/>
    <w:rsid w:val="00F83C06"/>
    <w:rsid w:val="00F90CD4"/>
    <w:rsid w:val="00F92F6A"/>
    <w:rsid w:val="00F94E08"/>
    <w:rsid w:val="00F96457"/>
    <w:rsid w:val="00F96ECC"/>
    <w:rsid w:val="00F9784C"/>
    <w:rsid w:val="00F97999"/>
    <w:rsid w:val="00FA18E6"/>
    <w:rsid w:val="00FA6CF3"/>
    <w:rsid w:val="00FA7B53"/>
    <w:rsid w:val="00FA7D97"/>
    <w:rsid w:val="00FB0198"/>
    <w:rsid w:val="00FB1CC4"/>
    <w:rsid w:val="00FC188D"/>
    <w:rsid w:val="00FC251F"/>
    <w:rsid w:val="00FC3AF1"/>
    <w:rsid w:val="00FC430C"/>
    <w:rsid w:val="00FC5F81"/>
    <w:rsid w:val="00FD0265"/>
    <w:rsid w:val="00FD585B"/>
    <w:rsid w:val="00FD5CCA"/>
    <w:rsid w:val="00FD7609"/>
    <w:rsid w:val="00FE061A"/>
    <w:rsid w:val="00FE7F37"/>
    <w:rsid w:val="00FF05E7"/>
    <w:rsid w:val="00FF06B6"/>
    <w:rsid w:val="00FF195F"/>
    <w:rsid w:val="00FF2222"/>
    <w:rsid w:val="00FF2A9B"/>
    <w:rsid w:val="00FF4D7D"/>
    <w:rsid w:val="00FF5228"/>
    <w:rsid w:val="00FF58D4"/>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6769"/>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hAnsi="Times New Roman" w:cs="Times New Roman"/>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 w:val="20"/>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 w:val="20"/>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sz w:val="20"/>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rFonts w:ascii="Times New Roman" w:hAnsi="Times New Roman"/>
      <w:lang w:val="en-GB" w:eastAsia="en-US"/>
    </w:rPr>
  </w:style>
  <w:style w:type="paragraph" w:styleId="af">
    <w:name w:val="Normal (Web)"/>
    <w:basedOn w:val="a0"/>
    <w:uiPriority w:val="99"/>
    <w:semiHidden/>
    <w:unhideWhenUsed/>
    <w:rsid w:val="001C71A4"/>
    <w:pPr>
      <w:spacing w:before="100" w:beforeAutospacing="1" w:after="100" w:afterAutospacing="1"/>
    </w:pPr>
  </w:style>
  <w:style w:type="paragraph" w:customStyle="1" w:styleId="PL">
    <w:name w:val="PL"/>
    <w:link w:val="PLChar"/>
    <w:qFormat/>
    <w:rsid w:val="00A915ED"/>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rPr>
  </w:style>
  <w:style w:type="character" w:customStyle="1" w:styleId="PLChar">
    <w:name w:val="PL Char"/>
    <w:link w:val="PL"/>
    <w:qFormat/>
    <w:rsid w:val="00A915ED"/>
    <w:rPr>
      <w:rFonts w:ascii="Courier New" w:eastAsia="Times New Roman" w:hAnsi="Courier New" w:cs="Times New Roman"/>
      <w:noProof/>
      <w:kern w:val="0"/>
      <w:sz w:val="16"/>
      <w:szCs w:val="20"/>
      <w:shd w:val="clear" w:color="auto" w:fill="E7E6E6" w:themeFill="background2"/>
      <w:lang w:val="en-GB"/>
    </w:rPr>
  </w:style>
  <w:style w:type="character" w:customStyle="1" w:styleId="Char">
    <w:name w:val="列出段落 Char"/>
    <w:aliases w:val="- Bullets Char,목록 단락 Char,?? ?? Char,????? Char,リスト段落 Char,???? Char,Lista1 Char,彩色列表 - 强调文字颜色 1 Char"/>
    <w:uiPriority w:val="34"/>
    <w:qFormat/>
    <w:locked/>
    <w:rsid w:val="004A7BD9"/>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947</Words>
  <Characters>5398</Characters>
  <Application>Microsoft Office Word</Application>
  <DocSecurity>0</DocSecurity>
  <Lines>44</Lines>
  <Paragraphs>12</Paragraphs>
  <ScaleCrop>false</ScaleCrop>
  <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Hua Li 李华</cp:lastModifiedBy>
  <cp:revision>3</cp:revision>
  <dcterms:created xsi:type="dcterms:W3CDTF">2025-03-28T12:15:00Z</dcterms:created>
  <dcterms:modified xsi:type="dcterms:W3CDTF">2025-03-28T12:16:00Z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